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Verifiche pertinenti</w:t>
      </w:r>
    </w:p>
    <w:p>
      <w:pPr>
        <w:pStyle w:val="Normal"/>
      </w:pPr>
      <w:r>
        <w:t xml:space="preserve">ANTHEA · 24/09/2026 14:26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SLE Frequente</w:t>
      </w:r>
    </w:p>
    <w:p>
      <w:pPr>
        <w:pStyle w:val="Heading2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5.87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trefoli riferimento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5.72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trefoli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Breve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Liscia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2"/>
      </w:pPr>
      <w:r>
        <w:t xml:space="preserve">Fessurazione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per ηw determinabile: sono conservati gli esiti di decompressione, non applicabilità o calcolo non disponibile.</w:t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</Relationships>
</file>