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30"/>
        <w:keepNext/>
      </w:pPr>
      <w:r>
        <w:rPr>
          <w:rFonts w:ascii="Calibri" w:hAnsi="Calibri"/>
          <w:sz w:val="25"/>
          <w:b/>
        </w:rPr>
        <w:t>ANTHEA · 10-non-drenato</w:t>
      </w:r>
    </w:p>
    <w:p>
      <w:pPr>
        <w:spacing w:after="70"/>
      </w:pPr>
      <w:r>
        <w:rPr>
          <w:rFonts w:ascii="Calibri" w:hAnsi="Calibri"/>
          <w:sz w:val="19"/>
        </w:rPr>
        <w:t>Muri di sostegno · Mensola in c.a.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Campo di applicazione e verifiche richieste</w:t>
      </w:r>
    </w:p>
    <w:p>
      <w:pPr>
        <w:spacing w:after="70"/>
      </w:pPr>
      <w:r>
        <w:rPr>
          <w:rFonts w:ascii="Calibri" w:hAnsi="Calibri"/>
          <w:sz w:val="19"/>
        </w:rPr>
        <w:t>Sezione piana per metro di sviluppo. Paramento di monte verticale, riempimento orizzontale granulare (c′ = 0), spinta attiva oppure a riposo nel modello Wood. Fondazione nastriforme superficiale su terreno omogeneo drenato, senza terreno a valle né resistenza passiva. Muro a mensola in c.a. o a gravità con sezione trapezia.</w:t>
      </w:r>
    </w:p>
    <w:p>
      <w:pPr>
        <w:spacing w:after="70"/>
      </w:pPr>
      <w:r>
        <w:rPr>
          <w:rFonts w:ascii="Calibri" w:hAnsi="Calibri"/>
          <w:sz w:val="19"/>
        </w:rPr>
        <w:t>La stabilità globale è un’analisi Bishop separata, da attivare con profilo esteso e stratigrafia profonda. Cedimenti, spostamenti, liquefazione, verifiche idrauliche, ancoraggi e dettagli esecutivi richiedono analisi dedicate. Non viene emesso un esito di verifica complessiva dell’opera. Le spinte sismiche locali richiedono terreno omogeneo asciutto; l’analisi globale usa il proprio profilo stratificato e la propria falda, senza degradazione ciclica o pressioni idrodinamiche.</w:t>
      </w:r>
    </w:p>
    <w:p>
      <w:pPr>
        <w:spacing w:after="70"/>
      </w:pPr>
      <w:r>
        <w:rPr>
          <w:rFonts w:ascii="Calibri" w:hAnsi="Calibri"/>
          <w:sz w:val="19"/>
        </w:rPr>
        <w:t>Statica: Rankine per strati (K₀ nel modello Wood), pressioni efficaci e acqua separate. Preset SLU A1+M1+R3: inviluppo γG,muro e γG,terra = 1 / 1,3; γQ = 0 / 1,5; γG,acqua = 1 / 1,3, correlato a spinta e sottospinta. γR scorrimento 1,1, ribaltamento 1,15, portanza 1,4. Portanza: EN 1997-1, allegato D, fondazione nastriforme c′=0, D=0, Nγ=2(Nq−1)tanφ, iγ=(1−H/V)³; base ruvida δ≥φ/2. Contatto elastico senza trazione; B′=B−2|e|. Oltre |e|=B/3 la portanza è fuori campo. Nessuna resistenza passiva.</w:t>
      </w:r>
    </w:p>
    <w:p>
      <w:pPr>
        <w:spacing w:after="70"/>
      </w:pPr>
      <w:r>
        <w:rPr>
          <w:rFonts w:ascii="Calibri" w:hAnsi="Calibri"/>
          <w:sz w:val="19"/>
        </w:rPr>
        <w:t>GPC.Geometry: area e baricentro; GPC.Model e GPCChecker.Concrete: materiali, equilibrio N–M e tensioni delle sezioni armate. Pressioni geotecniche ed equilibrio del muro: ANTHEA.</w:t>
      </w:r>
    </w:p>
    <w:p>
      <w:pPr>
        <w:spacing w:after="70"/>
      </w:pPr>
      <w:r>
        <w:rPr>
          <w:rFonts w:ascii="Calibri" w:hAnsi="Calibri"/>
          <w:sz w:val="19"/>
        </w:rPr>
        <w:t>A modifica le azioni; M riduce i parametri del terreno (tan φd = tan φk / γMφ); R divide le resistenze. Per i muri NTC 2018 §6.5.3.1.1 il preset locale è Approccio 2: A1+M1+R3, con γR = 1,10 scorrimento, 1,15 ribaltamento, 1,40 portanza. A1+M1+R1 appartiene alla combinazione 1 dell’Approccio 1 e non sostituisce la verifica A2+M2+R2. La stabilità globale A2+M2+R2 richiede un’analisi dedicata. Nella matrice ogni riga espone i fattori realmente usati: modificarli produce una combinazione personalizzata, non una certificazione dell’approccio.</w:t>
      </w:r>
    </w:p>
    <w:p>
      <w:pPr>
        <w:spacing w:after="70"/>
      </w:pPr>
      <w:r>
        <w:rPr>
          <w:rFonts w:ascii="Calibri" w:hAnsi="Calibri"/>
          <w:sz w:val="19"/>
        </w:rPr>
        <w:t>Azioni indipendenti con ψ propri e gruppi correlati. Matrice Automatiche: fanno fede i coefficienti salvati in ogni riga. Urto: forza statica equivalente assegnata per metro; eventi eccezionali separati, ψ₂ delle variabili e γR=1 nel preset. Resistenze del materiale conservate cautelativamente ai valori ordinari.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Geometria e dati di ingresso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sopra fondazione · H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al piede · s₀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in testa · s₁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fondazione · t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valle · a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monte · 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terreno di posa · φ′f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asciutto · γf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saturo · γsat,f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alla base · δb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specifico muro · γm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calcestruzzo · fck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Snervamento armature · fyk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Copriferro netto barre · c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Coefficiente viscosità per SLE · φ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Azioni assegnate per metro di sviluppo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424"/>
        <w:gridCol w:w="1940"/>
        <w:gridCol w:w="1712"/>
        <w:gridCol w:w="2284"/>
      </w:tblGrid>
      <w:tr>
        <w:trPr>
          <w:cantSplit/>
          <w:tblHeader/>
        </w:trPr>
        <w:tc>
          <w:tcPr>
            <w:tcW w:w="342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 / tipo / natura</w:t>
            </w:r>
          </w:p>
        </w:tc>
        <w:tc>
          <w:tcPr>
            <w:tcW w:w="19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 / unità</w:t>
            </w:r>
          </w:p>
        </w:tc>
        <w:tc>
          <w:tcPr>
            <w:tcW w:w="17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 / z₁ / x [m]</w:t>
            </w:r>
          </w:p>
        </w:tc>
        <w:tc>
          <w:tcPr>
            <w:tcW w:w="228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ψ₀ / ψ₁ / ψ₂ / gruppo</w:t>
            </w:r>
          </w:p>
        </w:tc>
      </w:tr>
      <w:tr>
        <w:trPr>
          <w:cantSplit/>
        </w:trPr>
        <w:tc>
          <w:tcPr>
            <w:tcW w:w="342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  <w:br/>
              <w:t>Sovraccarico uniforme · Q</w:t>
            </w:r>
          </w:p>
        </w:tc>
        <w:tc>
          <w:tcPr>
            <w:tcW w:w="19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kPa</w:t>
            </w:r>
          </w:p>
        </w:tc>
        <w:tc>
          <w:tcPr>
            <w:tcW w:w="17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Tutto il riempimento</w:t>
            </w:r>
          </w:p>
        </w:tc>
        <w:tc>
          <w:tcPr>
            <w:tcW w:w="228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0.7 / 0.5 / 0.3 / legacy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z delle azioni dal piano di posa, x dal bordo a valle. H verso valle, N a compressione, momento ribaltante. Urto: azione statica equivalente assegnata. Visibilità nel disegno indipendente dall’abilitazione al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(dalla sommità)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assente.</w:t>
      </w:r>
    </w:p>
    <w:p>
      <w:pPr>
        <w:spacing w:after="70"/>
      </w:pPr>
      <w:r>
        <w:rPr>
          <w:rFonts w:ascii="Calibri" w:hAnsi="Calibri"/>
          <w:sz w:val="19"/>
        </w:rPr>
        <w:t>Analisi sismica non richiesta nel presente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Armature e verifiche strutturali</w:t>
      </w:r>
    </w:p>
    <w:p>
      <w:pPr>
        <w:spacing w:after="70"/>
      </w:pPr>
      <w:r>
        <w:rPr>
          <w:rFonts w:ascii="Calibri" w:hAnsi="Calibri"/>
          <w:sz w:val="19"/>
        </w:rPr>
        <w:t>Due facce simmetriche; quantità per metro. Resistenza N–M da GPCChecker.Concrete, taglio senza staffe secondo NTC 2018 senza beneficio della compressione. Sezioni del fusto ogni H/20, compresa la testa quando caricata, e radici delle mensole; l’inviluppo indica la sezione governante. SLE: sezione fessurata, viscosità assegnata, esposizione XC2. Compressione positiva nei risultati del muro e convertita in N negativa per Checker.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3120"/>
        <w:gridCol w:w="156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Barre per metro/faccia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Ø [mm]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inferiore / intero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Quantità indicative: 2,325 m³/m di calcestruzzo e 113,64 kg/m di armatura principale; esclusi ancoraggi, sovrapposizioni e armature secondarie. Durabilità, armatura trasversale di distribuzione e dettagli esecutivi da completare.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locali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Scorrimento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 / 93,771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0,679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Ribaltamento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 / 292,751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Capacità portante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228,923 / 851,504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fondazione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 / 1,5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in compressione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Stabilità globale · Bishop</w:t>
              <w:br/>
              <w:t>Globale A2–M2–R2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 / 3,067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Discretizzazione non convergente: aumentare i conci.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strutturali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589,077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z=0.15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10300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2,25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97,888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0,563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35,056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1,315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68,895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z=0.30 m · fessurazione</w:t>
              <w:br/>
              <w:t>SLE_FREQ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—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Nessuna armatura tesa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0,035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0,059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56,756 / 164,858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 / 161,084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N–M GPC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20,768 / 184,674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taglio senza staffe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51,642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43,646 / 184,677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47,903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Combinazioni e equilibrio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694"/>
        <w:gridCol w:w="1970"/>
        <w:gridCol w:w="2463"/>
        <w:gridCol w:w="1233"/>
      </w:tblGrid>
      <w:tr>
        <w:trPr>
          <w:cantSplit/>
          <w:tblHeader/>
        </w:trPr>
        <w:tc>
          <w:tcPr>
            <w:tcW w:w="36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stato</w:t>
            </w:r>
          </w:p>
        </w:tc>
        <w:tc>
          <w:tcPr>
            <w:tcW w:w="19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 / terra / acqua</w:t>
            </w:r>
          </w:p>
        </w:tc>
        <w:tc>
          <w:tcPr>
            <w:tcW w:w="246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γRsc / γRrib / γRport</w:t>
            </w:r>
          </w:p>
        </w:tc>
        <w:tc>
          <w:tcPr>
            <w:tcW w:w="123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SLE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SLE_FREQ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SLE_QP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668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668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Fattori γ × ψ delle azioni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Spinte: valori e coefficienti</w:t>
      </w:r>
    </w:p>
    <w:p>
      <w:pPr>
        <w:spacing w:after="70"/>
      </w:pPr>
      <w:r>
        <w:rPr>
          <w:rFonts w:ascii="Calibri" w:hAnsi="Calibri"/>
          <w:sz w:val="19"/>
        </w:rPr>
        <w:t>Ka=tan²(45°−φd/2); tanφd=tanφk/γMφ. Statica: p=Kaσ′v+KaΣ(fi·qi)+u. Sisma MO: θ=atan[kh/(1−kv)], Kae=cos²(φd−θ)/{cos²θ·[1+√(sinφd·sin(φd−θ)/cosθ)]²}; Δp=(Kae−Ka)(1−kv)γHt/2; pq=Kae(1−kv)Σ(fi·qi). Incremento uniforme; Ht=H+t.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80"/>
        <w:gridCol w:w="1804"/>
        <w:gridCol w:w="1466"/>
        <w:gridCol w:w="1691"/>
        <w:gridCol w:w="1919"/>
      </w:tblGrid>
      <w:tr>
        <w:trPr>
          <w:cantSplit/>
          <w:tblHeader/>
        </w:trPr>
        <w:tc>
          <w:tcPr>
            <w:tcW w:w="24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8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/ K / Kae</w:t>
            </w:r>
          </w:p>
        </w:tc>
        <w:tc>
          <w:tcPr>
            <w:tcW w:w="146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 terra₀–₁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pq / u₀–₁</w:t>
            </w:r>
          </w:p>
        </w:tc>
        <w:tc>
          <w:tcPr>
            <w:tcW w:w="19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Δp / ptot₀–₁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3,333–21,333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21,333–24,033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1,667–19,667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19,667–22,367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1–19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19–21,7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Pressioni in kPa; φd in gradi; z dalla sommità. σ′v include i fattori dei pesi e (1−kv). Le azioni laterali dirette sono integrate separatamente. Matrice completa e dettagli numerici disponibili anche nel JSON.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2674"/>
        <w:gridCol w:w="1337"/>
        <w:gridCol w:w="1337"/>
        <w:gridCol w:w="1338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muro/terra/acqua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H [kN/m]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V′ [kN/m]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[kN/m]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47,208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173,325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41,458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164,325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160,725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155,325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172,763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184,485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201,923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182,325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199,763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211,485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228,923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9"/>
        <w:gridCol w:w="1644"/>
        <w:gridCol w:w="1644"/>
        <w:gridCol w:w="1011"/>
        <w:gridCol w:w="1011"/>
        <w:gridCol w:w="1521"/>
      </w:tblGrid>
      <w:tr>
        <w:trPr>
          <w:cantSplit/>
          <w:tblHeader/>
        </w:trPr>
        <w:tc>
          <w:tcPr>
            <w:tcW w:w="252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Mstab [kNm/m]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Mrib [kNm/m]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 [m]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B′ [m]</w:t>
            </w:r>
          </w:p>
        </w:tc>
        <w:tc>
          <w:tcPr>
            <w:tcW w:w="15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pmax [kPa]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317,764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60,901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59,858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298,864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50,982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-0,008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2,983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291,304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279,964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55,717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302,717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59,261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341,2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68,888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363,953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72,432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336,664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2,916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65,871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359,417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73,952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397,9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2,977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72,139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420,653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2,949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80,221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Convenzioni: x dal bordo a valle, e positivo verso valle, pressioni positive a compressione. N positivo a compressione. M del fusto positivo per trazione a monte; M delle mensole positivo per trazione inferiore. Sottospinta inclusa nel momento ribaltante. B′ è la larghezza efficace per la portanza, distinta dalla larghezza di contatto.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Sollecitazioni alle radici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[kN/m]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[kNm/m]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[kN/m]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15,436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38,442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-30,334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-32,955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13,684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34,275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-24,166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-27,186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12,982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32,608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-21,699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-24,878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11,931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30,108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-17,998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-21,417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25,903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13,308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33,389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-16,255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-18,663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14,133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35,859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-25,141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-30,596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34,003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15,51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-23,398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-27,842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17,189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-36,503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-38,724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48,403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18,566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45,891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-34,759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-35,97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56,756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19,391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48,361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-43,646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-47,903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56,503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20,768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-41,902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-45,149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Tutte le sezioni campionate sono disponibili nell’export JSON; il CSV contiene tutti i controlli. Un controllo non disponibile è mantenuto nell’inviluppo e non sostituito da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del complesso muro–terreno</w:t>
      </w:r>
    </w:p>
    <w:p>
      <w:pPr>
        <w:spacing w:after="70"/>
      </w:pPr>
      <w:r>
        <w:rPr>
          <w:rFonts w:ascii="Calibri" w:hAnsi="Calibri"/>
          <w:sz w:val="19"/>
        </w:rPr>
        <w:t>Stabilità globale: Bishop semplificato, superfici circolari sotto l’intero muro, verso valle. Statica: Approccio 1, combinazione 2 A2+M2+R2; γG1=1, γG2=0/1,3, γQ=0/1,3, γM,tanφ=γM,c′=1,25, γM,cu=1,4, γR=1,10. SLV del complesso muro–terreno (§§7.11.6.2.2 e 7.11.4): γA=γM=1, γR=1,20; kh=βs·amax/g con βs=0,38 e kv=±0,5kh. βs è distinto dal βm delle spinte. La stabilità del versante naturale e i meccanismi non circolari richiedono una valutazione dedicata.</w:t>
      </w:r>
    </w:p>
    <w:p>
      <w:pPr>
        <w:spacing w:after="70"/>
      </w:pPr>
      <w:r>
        <w:rPr>
          <w:rFonts w:ascii="Calibri" w:hAnsi="Calibri"/>
          <w:sz w:val="19"/>
        </w:rPr>
        <w:t>F = Σ{[c′d·b + (V − u·b)·tanφ′d]/mα}/D; mα = cosα + sinα·tanφ′d/F. D = Σ[V·(xG−xc) + H·(yc−yH) + M]/R; N′ = [V−u·l·cosα−c′d·l·sinα/F]/mα; l=b/cosα. V=(1−kv)W+Vext. In non drenato φ=0, c=cu,d, u=0. η=γR/F.</w:t>
      </w:r>
    </w:p>
    <w:p>
      <w:pPr>
        <w:spacing w:after="70"/>
      </w:pPr>
      <w:r>
        <w:rPr>
          <w:rFonts w:ascii="Calibri" w:hAnsi="Calibri"/>
          <w:sz w:val="19"/>
        </w:rPr>
        <w:t>Superfici circolari verso valle, ramo inferiore con centro fra gli estremi e inclinazione della base entro ±80°, passanti sotto l’intero muro; interstrato orizzontale. Ricerca a griglia e raffinamento da sei minimi distinti: non garantisce il minimo assoluto. Ampliare il dominio e confrontare densità di ricerca e conci.</w:t>
      </w:r>
    </w:p>
    <w:p>
      <w:pPr>
        <w:spacing w:after="70"/>
      </w:pPr>
      <w:r>
        <w:rPr>
          <w:rFonts w:ascii="Calibri" w:hAnsi="Calibri"/>
          <w:sz w:val="19"/>
        </w:rPr>
        <w:t>Bishop semplificato: equilibrio dei momenti e verticale dei conci; forze tangenziali interconcio trascurate, equilibrio orizzontale non imposto. Non sono modellate fessure di trazione, superfici non circolari, pressioni idrodinamiche o degradazione ciclica.</w:t>
      </w:r>
    </w:p>
    <w:p>
      <w:pPr>
        <w:spacing w:after="70"/>
      </w:pPr>
      <w:r>
        <w:rPr>
          <w:rFonts w:ascii="Calibri" w:hAnsi="Calibri"/>
          <w:sz w:val="19"/>
        </w:rPr>
        <w:t>Il muro è una massa rigida; spinte muro–terreno e reazioni di fondazione sono interne alla massa e non si aggiungono. GPC.Geometry per area/baricentro dei corpi; carichi esterni senza inerzia aggiunta alla massa dei sovraccarichi.</w:t>
      </w:r>
    </w:p>
    <w:p>
      <w:pPr>
        <w:spacing w:after="70"/>
      </w:pPr>
      <w:r>
        <w:rPr>
          <w:rFonts w:ascii="Calibri" w:hAnsi="Calibri"/>
          <w:sz w:val="19"/>
        </w:rPr>
        <w:t>Stabilità globale: Bishop semplificato, superfici circolari sotto l’intero muro, verso valle. Statica: Approccio 1, combinazione 2 A2+M2+R2; γG1=1, γG2=0/1,3, γQ=0/1,3, γM,tanφ=γM,c′=1,25, γM,cu=1,4, γR=1,10. SLV del complesso muro–terreno (§§7.11.6.2.2 e 7.11.4): γA=γM=1, γR=1,20; kh=βs·amax/g con βs=0,38 e kv=±0,5kh. βs è distinto dal βm delle spinte. La stabilità del versante naturale e i meccanismi non circolari richiedono una valutazione dedicata.</w:t>
      </w:r>
    </w:p>
    <w:p>
      <w:pPr>
        <w:spacing w:after="70"/>
      </w:pPr>
      <w:r>
        <w:rPr>
          <w:rFonts w:ascii="Calibri" w:hAnsi="Calibri"/>
          <w:sz w:val="19"/>
        </w:rPr>
        <w:t>Muro: area GPC 2.325 m²; baricentro (1.3048; 0.9) m; γ=25 kN/m³. Materiali del muro condivisi con le verifiche locali GPC; parametri geotecnici del profilo globale indipendenti e dichiarati.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Modello della sezione globale · coordinate in metri dal piede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2340"/>
        <w:gridCol w:w="234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Punto profilo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 [m]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y [m]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94"/>
        <w:gridCol w:w="1397"/>
        <w:gridCol w:w="2095"/>
        <w:gridCol w:w="1397"/>
        <w:gridCol w:w="1677"/>
      </w:tblGrid>
      <w:tr>
        <w:trPr>
          <w:cantSplit/>
          <w:tblHeader/>
        </w:trPr>
        <w:tc>
          <w:tcPr>
            <w:tcW w:w="27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Terreno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Fondo y [m]</w:t>
            </w:r>
          </w:p>
        </w:tc>
        <w:tc>
          <w:tcPr>
            <w:tcW w:w="209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/ γsat [kN/m³]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φ′k [°]</w:t>
            </w:r>
          </w:p>
        </w:tc>
        <w:tc>
          <w:tcPr>
            <w:tcW w:w="167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c′ / cu [kPa]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-21,55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/ 20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globale assente.</w:t>
      </w:r>
    </w:p>
    <w:p>
      <w:pPr>
        <w:spacing w:after="70"/>
      </w:pPr>
      <w:r>
        <w:rPr>
          <w:rFonts w:ascii="Calibri" w:hAnsi="Calibri"/>
          <w:sz w:val="19"/>
        </w:rPr>
        <w:t>Ricerca: uscita x=-13,8…-0,1 m; ingresso x=3,1…16,8 m; profondità sotto y=0: 0,1…10 m. Griglia 9³, 4 raffinamenti, 60 conci iniziali e controllo a 120 sulla superficie minima.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925"/>
        <w:gridCol w:w="1404"/>
        <w:gridCol w:w="1638"/>
        <w:gridCol w:w="819"/>
        <w:gridCol w:w="1404"/>
        <w:gridCol w:w="1170"/>
      </w:tblGrid>
      <w:tr>
        <w:trPr>
          <w:cantSplit/>
          <w:tblHeader/>
        </w:trPr>
        <w:tc>
          <w:tcPr>
            <w:tcW w:w="292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γterra / γmuro</w:t>
            </w:r>
          </w:p>
        </w:tc>
        <w:tc>
          <w:tcPr>
            <w:tcW w:w="16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γMc / γMcu</w:t>
            </w:r>
          </w:p>
        </w:tc>
        <w:tc>
          <w:tcPr>
            <w:tcW w:w="8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γR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  <w:tc>
          <w:tcPr>
            <w:tcW w:w="11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Condizione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drenata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drenata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82"/>
        <w:gridCol w:w="2276"/>
        <w:gridCol w:w="1770"/>
        <w:gridCol w:w="2532"/>
      </w:tblGrid>
      <w:tr>
        <w:trPr>
          <w:cantSplit/>
          <w:tblHeader/>
        </w:trPr>
        <w:tc>
          <w:tcPr>
            <w:tcW w:w="278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227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/ y [m]</w:t>
            </w:r>
          </w:p>
        </w:tc>
        <w:tc>
          <w:tcPr>
            <w:tcW w:w="17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/ H / M</w:t>
            </w:r>
          </w:p>
        </w:tc>
        <w:tc>
          <w:tcPr>
            <w:tcW w:w="253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Distribuzione</w:t>
            </w:r>
          </w:p>
        </w:tc>
      </w:tr>
      <w:tr>
        <w:trPr>
          <w:cantSplit/>
        </w:trPr>
        <w:tc>
          <w:tcPr>
            <w:tcW w:w="27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227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16,8 / 3,45</w:t>
            </w:r>
          </w:p>
        </w:tc>
        <w:tc>
          <w:tcPr>
            <w:tcW w:w="17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/ 0 / 0</w:t>
            </w:r>
          </w:p>
        </w:tc>
        <w:tc>
          <w:tcPr>
            <w:tcW w:w="253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Uniforme · kPa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468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× ψ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31"/>
        <w:gridCol w:w="1215"/>
        <w:gridCol w:w="850"/>
        <w:gridCol w:w="1215"/>
        <w:gridCol w:w="3649"/>
      </w:tblGrid>
      <w:tr>
        <w:trPr>
          <w:cantSplit/>
          <w:tblHeader/>
        </w:trPr>
        <w:tc>
          <w:tcPr>
            <w:tcW w:w="243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 / γR</w:t>
            </w:r>
          </w:p>
        </w:tc>
        <w:tc>
          <w:tcPr>
            <w:tcW w:w="85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η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Risolte / provate</w:t>
            </w:r>
          </w:p>
        </w:tc>
        <w:tc>
          <w:tcPr>
            <w:tcW w:w="36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3,067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0,359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418/3026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Discretizzazione non convergente: aumentare i conci.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2,489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0,442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468/3207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Discretizzazione non convergente: aumentare i conci.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1 · superficie minima</w:t>
      </w:r>
    </w:p>
    <w:p>
      <w:pPr>
        <w:spacing w:after="70"/>
      </w:pPr>
      <w:r>
        <w:rPr>
          <w:rFonts w:ascii="Calibri" w:hAnsi="Calibri"/>
          <w:sz w:val="19"/>
        </w:rPr>
        <w:t>Centro (0,325; 5,374) m; raggio 10,656 m; estremi x=-8,877 / 10,806 m. D=285,801 kN/m, ΣR=876,435 kN/m, iterazioni 29, residuo -1.776E-08. Superfici geometricamente ammesse 2064; senza soluzione 1647. Discretizzazione non convergente: aumentare i conci.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2 · superficie minima</w:t>
      </w:r>
    </w:p>
    <w:p>
      <w:pPr>
        <w:spacing w:after="70"/>
      </w:pPr>
      <w:r>
        <w:rPr>
          <w:rFonts w:ascii="Calibri" w:hAnsi="Calibri"/>
          <w:sz w:val="19"/>
        </w:rPr>
        <w:t>Centro (0,671; 5,082) m; raggio 8,895 m; estremi x=-6,629 / 9,415 m. D=283,818 kN/m, ΣR=706,524 kN/m, iterazioni 29, residuo 6.252E-08. Superfici geometricamente ammesse 2056; senza soluzione 1589. Discretizzazione non convergente: aumentare i conci.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Conci della combinazione governante · Globale A2–M2–R2 2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054"/>
        <w:gridCol w:w="1483"/>
        <w:gridCol w:w="799"/>
        <w:gridCol w:w="1598"/>
        <w:gridCol w:w="799"/>
        <w:gridCol w:w="1027"/>
        <w:gridCol w:w="1600"/>
      </w:tblGrid>
      <w:tr>
        <w:trPr>
          <w:cantSplit/>
          <w:tblHeader/>
        </w:trPr>
        <w:tc>
          <w:tcPr>
            <w:tcW w:w="205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/ terreno</w:t>
            </w:r>
          </w:p>
        </w:tc>
        <w:tc>
          <w:tcPr>
            <w:tcW w:w="148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[m]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α [°]</w:t>
            </w:r>
          </w:p>
        </w:tc>
        <w:tc>
          <w:tcPr>
            <w:tcW w:w="159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W terra / muro [kN/m]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[kPa]</w:t>
            </w:r>
          </w:p>
        </w:tc>
        <w:tc>
          <w:tcPr>
            <w:tcW w:w="102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N′ [kN/m]</w:t>
            </w:r>
          </w:p>
        </w:tc>
        <w:tc>
          <w:tcPr>
            <w:tcW w:w="160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 / T [kN/m]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-6,629 / -6,362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-53,673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10,312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16,121 / 6,476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-6,362 / -6,094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-50,859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2,556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11,516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15,129 / 6,077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-6,094 / -5,827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-48,204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4,066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12,539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14,329 / 5,756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-5,827 / -5,559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-45,681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5,444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13,415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13,669 / 5,491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-5,559 / -5,292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-43,267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6,708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14,171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13,115 / 5,268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-5,292 / -5,025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-40,946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7,871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14,828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12,643 / 5,079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-5,025 / -4,757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-38,703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8,945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15,401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12,237 / 4,916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-4,757 / -4,49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-36,528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9,937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15,902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11,884 / 4,774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-4,49 / -4,222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-34,413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10,854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16,343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11,576 / 4,65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-4,222 / -3,955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11,702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16,729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11,304 / 4,541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-3,955 / -3,688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-30,334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12,486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17,068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11,065 / 4,445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-3,688 / -3,42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-28,358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13,21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17,365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10,852 / 4,359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-3,42 / -3,153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-26,418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13,877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17,623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10,663 / 4,284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-3,153 / -2,885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-24,51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17,847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10,496 / 4,216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-2,885 / -2,618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-22,631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15,052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10,346 / 4,156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-2,618 / -2,351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-20,777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15,564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18,203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10,214 / 4,103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-2,351 / -2,083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-18,945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16,029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18,339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10,097 / 4,056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-2,083 / -1,816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-17,134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16,448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18,45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9,993 / 4,014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-1,816 / -1,548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16,823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18,536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9,903 / 3,978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-1,548 / -1,281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-13,561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17,155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18,599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9,824 / 3,946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-1,281 / -1,014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-11,795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17,444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18,639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9,756 / 3,919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-1,014 / -0,746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-10,041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17,693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18,658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9,698 / 3,896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-0,746 / -0,479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-8,296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18,655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9,651 / 3,877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-0,479 / -0,211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-6,559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18,068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18,631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9,613 / 3,862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-0,211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-5,009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14,378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7,579 / 3,045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0,056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-4,145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3,819 / 0,63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4,519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2,005 / 0,805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0,056 / 0,323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-3,102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18,286 / 3,008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21,533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9,564 / 3,842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0,323 / 0,591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-1,378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18,336 / 3,008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21,443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9,553 / 3,837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0,591 / 0,8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14,357 / 2,354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16,702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7,472 / 3,002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 / 0,858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3,991 / 1,501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2,078 / 0,835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0,858 / 0,95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1,502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6,296 / 5,812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12,078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3,281 / 1,318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 / 1,126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2,363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12,024 / 15,143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27,087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6,276 / 2,521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1,126 / 1,2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3,169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5,089 / 6,419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11,467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2,662 / 1,069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1,393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4,032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23,586 / 2,171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28,14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6,909 / 2,775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1,393 / 1,66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32,589 / 3,008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38,883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9,594 / 3,854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 / 1,928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7,253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32,445 / 3,008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38,751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9,627 / 3,867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1,928 / 2,195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8,993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32,261 / 3,008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38,613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9,669 / 3,884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2,195 / 2,463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10,742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32,038 / 3,008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38,468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9,72 / 3,905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2,463 / 2,73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31,773 / 3,008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38,315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9,782 / 3,929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2,73 / 2,997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14,271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31,467 / 3,008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38,152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9,854 / 3,958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2,997 / 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15,17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0,311 / 0,03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0,098 / 0,039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/ 3,265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16,064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32,951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36,733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9,839 / 3,953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3,265 / 3,532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17,856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32,891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36,909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10,033 / 4,03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3,532 / 3,8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19,675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32,454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36,701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10,142 / 4,074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 / 4,067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21,515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31,97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36,476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10,265 / 4,124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4,067 / 4,334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23,379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31,438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36,231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10,404 / 4,179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4,334 / 4,602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25,269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30,856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35,963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10,56 / 4,242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4,602 / 4,869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27,19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30,222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35,669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10,736 / 4,313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4,869 / 5,137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29,143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29,533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35,345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10,934 / 4,392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5,137 / 5,404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31,135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28,786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34,984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11,157 / 4,482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5,404 / 5,671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33,17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27,976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11,409 / 4,583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5,671 / 5,939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35,253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27,101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34,124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11,694 / 4,698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5,939 / 6,206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37,391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26,155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33,604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12,02 / 4,828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6,206 / 6,473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39,591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25,131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33,006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12,393 / 4,978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6,473 / 6,741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41,864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24,023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32,308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12,823 / 5,151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6,741 / 7,008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44,221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22,82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31,484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13,326 / 5,353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7,008 / 7,276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46,677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21,512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30,492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13,919 / 5,591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7,276 / 7,543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49,249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20,084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29,272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14,63 / 5,877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7,543 / 7,81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51,963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18,516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27,733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15,499 / 6,226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7,81 / 8,078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54,853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16,781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25,722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16,589 / 6,664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8,078 / 8,345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57,966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14,84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22,973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18,004 / 7,233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8,345 / 8,613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61,378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12,637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18,961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19,936 / 8,008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8,613 / 8,88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65,211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10,071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12,499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22,777 / 9,15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8,88 / 9,147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69,706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6,953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27,534 / 11,061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Il valore F è calcolato con i parametri ridotti della combinazione; η=γR/F. Un minimo sul bordo, una ricerca incompleta o un equilibrio non risolto non costituiscono una verifica soddisfatta. Tutti i conci di tutte le combinazioni sono disponibili nell’export CSV globale e nei risultati JSON.</w:t>
      </w:r>
    </w:p>
    <w:p>
      <w:pPr>
        <w:spacing w:after="70"/>
      </w:pPr>
      <w:r>
        <w:rPr>
          <w:rFonts w:ascii="Calibri" w:hAnsi="Calibri"/>
          <w:sz w:val="19"/>
        </w:rPr>
        <w:t>Riferimenti: NTC 2018 §§6.5.3.1.1, 6.8.2, 7.11.4 e 7.11.6.2.2. Bishop A.W. (1955), The use of the slip circle in the stability analysis of slopes. USACE EM 1110-2-1902, Slope Stability, appendice C.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Riferimenti</w:t>
      </w:r>
    </w:p>
    <w:p>
      <w:pPr>
        <w:spacing w:after="70"/>
      </w:pPr>
      <w:r>
        <w:rPr>
          <w:rFonts w:ascii="Calibri" w:hAnsi="Calibri"/>
          <w:sz w:val="19"/>
        </w:rPr>
        <w:t>D.M. 17/01/2018, NTC 2018 §§4.1, 6.2.4, 6.5 e 7.11: https://www.gazzettaufficiale.it/eli/id/2018/2/20/18A00716/sg</w:t>
      </w:r>
    </w:p>
    <w:p>
      <w:pPr>
        <w:spacing w:after="70"/>
      </w:pPr>
      <w:r>
        <w:rPr>
          <w:rFonts w:ascii="Calibri" w:hAnsi="Calibri"/>
          <w:sz w:val="19"/>
        </w:rPr>
        <w:t>JRC 2013, Eurocode 7: Geotechnical Design – Worked examples, capitoli 3 e 4: https://eurocodes.jrc.ec.europa.eu/sites/default/files/2022-06/2013_06_WS_GEO.pdf</w:t>
      </w:r>
    </w:p>
    <w:p>
      <w:pPr>
        <w:spacing w:after="70"/>
      </w:pPr>
      <w:r>
        <w:rPr>
          <w:rFonts w:ascii="Calibri" w:hAnsi="Calibri"/>
          <w:sz w:val="19"/>
        </w:rPr>
        <w:t>Wood, 1973, Earthquake-induced soil pressures on structures: https://authors.library.caltech.edu/records/48499-83239; Yi, 2013, Seismic Design of Restrained Rigid Walls: https://www.cfms-sols.org/sites/default/files/Actes/3521-3524.pdf. Distribuzione uniforme dell’incremento esplicitamente assunta nel presente modello semplificato.</w:t>
      </w:r>
    </w:p>
    <w:sectPr>
      <w:pgSz w:w="11906" w:h="16838"/>
      <w:pgMar w:top="1000" w:bottom="1000" w:left="1273" w:right="1273"/>
    </w:sectPr>
  </w:body>
</w:document>
</file>

<file path=word/_rels/document.xml.rels><Relationships xmlns="http://schemas.openxmlformats.org/package/2006/relationships" />
</file>