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pratica di ANTHEA</w:t>
      </w:r>
    </w:p>
    <w:p>
      <w:r>
        <w:t>Manuale operativo dei moduli disponibili</w:t>
      </w:r>
    </w:p>
    <w:p>
      <w:r>
        <w:t>Edizione 1 del 26 settembre 2026</w:t>
      </w:r>
    </w:p>
    <w:p>
      <w:r>
        <w:t>Questa guida accompagna l'utilizzatore dalla creazione del progetto alla lettura dei risultati e alla produzione dei report. Comprende i moduli geotecnici, i materiali, le sezioni in calcestruzzo armato, la sezione composta da ponte e Bridge Design. È riferita alla versione del repository aggiornata il 26 settembre 2026. La guida teorica separata descrive le formule e le scelte di modello; le due guide vanno utilizzate insieme quando si deve motivare un risultato.</w:t>
      </w:r>
    </w:p>
    <w:p>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pPr>
        <w:pStyle w:val="Heading2"/>
      </w:pPr>
      <w:r>
        <w:t>Percorso di lettura</w:t>
      </w:r>
    </w:p>
    <w:p>
      <w:pPr>
        <w:spacing w:after="60"/>
      </w:pPr>
      <w:hyperlink w:anchor="chapter_0">
        <w:r>
          <w:rPr>
            <w:color w:val="173858"/>
          </w:rPr>
          <w:t>1 Avvio e scelta del modulo</w:t>
        </w:r>
      </w:hyperlink>
    </w:p>
    <w:p>
      <w:pPr>
        <w:spacing w:after="60"/>
      </w:pPr>
      <w:hyperlink w:anchor="chapter_1">
        <w:r>
          <w:rPr>
            <w:color w:val="173858"/>
          </w:rPr>
          <w:t>2 Progetti e gestione del lavoro</w:t>
        </w:r>
      </w:hyperlink>
    </w:p>
    <w:p>
      <w:pPr>
        <w:spacing w:after="60"/>
      </w:pPr>
      <w:hyperlink w:anchor="chapter_2">
        <w:r>
          <w:rPr>
            <w:color w:val="173858"/>
          </w:rPr>
          <w:t>3 Materiali e durabilità</w:t>
        </w:r>
      </w:hyperlink>
    </w:p>
    <w:p>
      <w:pPr>
        <w:spacing w:after="60"/>
      </w:pPr>
      <w:hyperlink w:anchor="chapter_3">
        <w:r>
          <w:rPr>
            <w:color w:val="173858"/>
          </w:rPr>
          <w:t>4 Palo verticale</w:t>
        </w:r>
      </w:hyperlink>
    </w:p>
    <w:p>
      <w:pPr>
        <w:spacing w:after="60"/>
      </w:pPr>
      <w:hyperlink w:anchor="chapter_4">
        <w:r>
          <w:rPr>
            <w:color w:val="173858"/>
          </w:rPr>
          <w:t>5 Micropalo verticale</w:t>
        </w:r>
      </w:hyperlink>
    </w:p>
    <w:p>
      <w:pPr>
        <w:spacing w:after="60"/>
      </w:pPr>
      <w:hyperlink w:anchor="chapter_5">
        <w:r>
          <w:rPr>
            <w:color w:val="173858"/>
          </w:rPr>
          <w:t>6 Pali e micropali caricati orizzontalmente</w:t>
        </w:r>
      </w:hyperlink>
    </w:p>
    <w:p>
      <w:pPr>
        <w:spacing w:after="60"/>
      </w:pPr>
      <w:hyperlink w:anchor="chapter_6">
        <w:r>
          <w:rPr>
            <w:color w:val="173858"/>
          </w:rPr>
          <w:t>7 Sezione in calcestruzzo armato</w:t>
        </w:r>
      </w:hyperlink>
    </w:p>
    <w:p>
      <w:pPr>
        <w:spacing w:after="60"/>
      </w:pPr>
      <w:hyperlink w:anchor="chapter_7">
        <w:r>
          <w:rPr>
            <w:color w:val="173858"/>
          </w:rPr>
          <w:t>8 Sezione composta da ponte</w:t>
        </w:r>
      </w:hyperlink>
    </w:p>
    <w:p>
      <w:pPr>
        <w:spacing w:after="60"/>
      </w:pPr>
      <w:hyperlink w:anchor="chapter_8">
        <w:r>
          <w:rPr>
            <w:color w:val="173858"/>
          </w:rPr>
          <w:t>9 Bridge Design</w:t>
        </w:r>
      </w:hyperlink>
    </w:p>
    <w:p>
      <w:pPr>
        <w:spacing w:after="60"/>
      </w:pPr>
      <w:hyperlink w:anchor="chapter_9">
        <w:r>
          <w:rPr>
            <w:color w:val="173858"/>
          </w:rPr>
          <w:t>10 Salvataggio e report</w:t>
        </w:r>
      </w:hyperlink>
    </w:p>
    <w:p>
      <w:pPr>
        <w:spacing w:after="60"/>
      </w:pPr>
      <w:hyperlink w:anchor="chapter_10">
        <w:r>
          <w:rPr>
            <w:color w:val="173858"/>
          </w:rPr>
          <w:t>11 Percorso completo per un primo progetto</w:t>
        </w:r>
      </w:hyperlink>
    </w:p>
    <w:p>
      <w:pPr>
        <w:spacing w:after="60"/>
      </w:pPr>
      <w:hyperlink w:anchor="chapter_11">
        <w:r>
          <w:rPr>
            <w:color w:val="173858"/>
          </w:rPr>
          <w:t>12 Problemi frequenti e controlli finali</w:t>
        </w:r>
      </w:hyperlink>
    </w:p>
    <w:p>
      <w:r>
        <w:br w:type="page"/>
      </w:r>
    </w:p>
    <w:p>
      <w:bookmarkStart w:id="1" w:name="chapter_0"/>
      <w:pPr>
        <w:pStyle w:val="Heading1"/>
      </w:pPr>
      <w:r>
        <w:t>1 Avvio e scelta del modulo</w:t>
      </w:r>
      <w:bookmarkEnd w:id="1"/>
    </w:p>
    <w:p>
      <w:pPr>
        <w:pStyle w:val="Heading2"/>
      </w:pPr>
      <w:r>
        <w:t>1 1 Avviare la versione aggiornata</w:t>
      </w:r>
    </w:p>
    <w:p>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pPr>
        <w:pStyle w:val="Heading2"/>
      </w:pPr>
      <w:r>
        <w:t>1 2 Scegliere il foglio adatto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969"/>
      </w:tblGrid>
      <w:tr>
        <w:trPr>
          <w:tblHeader/>
          <w:cantSplit/>
        </w:trPr>
        <w:tc>
          <w:tcPr>
            <w:tcW w:type="dxa" w:w="2268"/>
            <w:vAlign w:val="center"/>
            <w:shd w:fill="173858"/>
            <w:tcMar>
              <w:top w:w="100" w:type="dxa"/>
              <w:left w:w="100" w:type="dxa"/>
              <w:bottom w:w="100" w:type="dxa"/>
              <w:right w:w="100" w:type="dxa"/>
            </w:tcMar>
          </w:tcPr>
          <w:p>
            <w:pPr>
              <w:spacing w:after="40" w:before="40" w:line="252" w:lineRule="auto"/>
            </w:pPr>
            <w:r>
              <w:rPr>
                <w:b/>
                <w:color w:val="FFFFFF"/>
                <w:sz w:val="18"/>
              </w:rPr>
              <w:t>Foglio disponibile</w:t>
            </w:r>
          </w:p>
        </w:tc>
        <w:tc>
          <w:tcPr>
            <w:tcW w:type="dxa" w:w="3402"/>
            <w:vAlign w:val="center"/>
            <w:shd w:fill="173858"/>
            <w:tcMar>
              <w:top w:w="100" w:type="dxa"/>
              <w:left w:w="100" w:type="dxa"/>
              <w:bottom w:w="100" w:type="dxa"/>
              <w:right w:w="100" w:type="dxa"/>
            </w:tcMar>
          </w:tcPr>
          <w:p>
            <w:pPr>
              <w:spacing w:after="40" w:before="40" w:line="252" w:lineRule="auto"/>
            </w:pPr>
            <w:r>
              <w:rPr>
                <w:b/>
                <w:color w:val="FFFFFF"/>
                <w:sz w:val="18"/>
              </w:rPr>
              <w:t>Domanda alla quale risponde</w:t>
            </w:r>
          </w:p>
        </w:tc>
        <w:tc>
          <w:tcPr>
            <w:tcW w:type="dxa" w:w="3969"/>
            <w:vAlign w:val="center"/>
            <w:shd w:fill="173858"/>
            <w:tcMar>
              <w:top w:w="100" w:type="dxa"/>
              <w:left w:w="100" w:type="dxa"/>
              <w:bottom w:w="100" w:type="dxa"/>
              <w:right w:w="100" w:type="dxa"/>
            </w:tcMar>
          </w:tcPr>
          <w:p>
            <w:pPr>
              <w:spacing w:after="40" w:before="40" w:line="252" w:lineRule="auto"/>
            </w:pPr>
            <w:r>
              <w:rPr>
                <w:b/>
                <w:color w:val="FFFFFF"/>
                <w:sz w:val="18"/>
              </w:rPr>
              <w:t>Informazione da preparare</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Palo verticale</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Quale resistenza assiale geotecnica si ottiene con questi terreni e questa lunghezza</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Stratigrafie, falda, tecnologia, azioni e coefficienti</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Micropalo verticale</w:t>
            </w:r>
          </w:p>
        </w:tc>
        <w:tc>
          <w:tcPr>
            <w:tcW w:type="dxa" w:w="3402"/>
            <w:vAlign w:val="center"/>
            <w:shd w:fill="F2F5F8"/>
            <w:tcMar>
              <w:top w:w="100" w:type="dxa"/>
              <w:left w:w="100" w:type="dxa"/>
              <w:bottom w:w="100" w:type="dxa"/>
              <w:right w:w="100" w:type="dxa"/>
            </w:tcMar>
          </w:tcPr>
          <w:p>
            <w:pPr>
              <w:spacing w:after="40" w:before="40" w:line="252" w:lineRule="auto"/>
            </w:pPr>
            <w:r>
              <w:rPr>
                <w:b w:val="0"/>
                <w:color w:val="000000"/>
                <w:sz w:val="18"/>
              </w:rPr>
              <w:t>Quale resistenza del bulbo iniettato è compatibile con l'abaco scelto</w:t>
            </w:r>
          </w:p>
        </w:tc>
        <w:tc>
          <w:tcPr>
            <w:tcW w:type="dxa" w:w="3969"/>
            <w:vAlign w:val="center"/>
            <w:shd w:fill="F2F5F8"/>
            <w:tcMar>
              <w:top w:w="100" w:type="dxa"/>
              <w:left w:w="100" w:type="dxa"/>
              <w:bottom w:w="100" w:type="dxa"/>
              <w:right w:w="100" w:type="dxa"/>
            </w:tcMar>
          </w:tcPr>
          <w:p>
            <w:pPr>
              <w:spacing w:after="40" w:before="40" w:line="252" w:lineRule="auto"/>
            </w:pPr>
            <w:r>
              <w:rPr>
                <w:b w:val="0"/>
                <w:color w:val="000000"/>
                <w:sz w:val="18"/>
              </w:rPr>
              <w:t>Terreni, p_l, iniezione, diametri, inclinazione e tratto attivo</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Palo orizzontale</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Quale carico limite laterale risulta dal meccanismo di Broms</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Terreno, diametro, lunghezza, vincolo e momento resistente</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Micropalo orizzontale</w:t>
            </w:r>
          </w:p>
        </w:tc>
        <w:tc>
          <w:tcPr>
            <w:tcW w:type="dxa" w:w="3402"/>
            <w:vAlign w:val="center"/>
            <w:shd w:fill="F2F5F8"/>
            <w:tcMar>
              <w:top w:w="100" w:type="dxa"/>
              <w:left w:w="100" w:type="dxa"/>
              <w:bottom w:w="100" w:type="dxa"/>
              <w:right w:w="100" w:type="dxa"/>
            </w:tcMar>
          </w:tcPr>
          <w:p>
            <w:pPr>
              <w:spacing w:after="40" w:before="40" w:line="252" w:lineRule="auto"/>
            </w:pPr>
            <w:r>
              <w:rPr>
                <w:b w:val="0"/>
                <w:color w:val="000000"/>
                <w:sz w:val="18"/>
              </w:rPr>
              <w:t>Quale capacità laterale risulta usando una sezione tubolare CHS</w:t>
            </w:r>
          </w:p>
        </w:tc>
        <w:tc>
          <w:tcPr>
            <w:tcW w:type="dxa" w:w="3969"/>
            <w:vAlign w:val="center"/>
            <w:shd w:fill="F2F5F8"/>
            <w:tcMar>
              <w:top w:w="100" w:type="dxa"/>
              <w:left w:w="100" w:type="dxa"/>
              <w:bottom w:w="100" w:type="dxa"/>
              <w:right w:w="100" w:type="dxa"/>
            </w:tcMar>
          </w:tcPr>
          <w:p>
            <w:pPr>
              <w:spacing w:after="40" w:before="40" w:line="252" w:lineRule="auto"/>
            </w:pPr>
            <w:r>
              <w:rPr>
                <w:b w:val="0"/>
                <w:color w:val="000000"/>
                <w:sz w:val="18"/>
              </w:rPr>
              <w:t>Diametro geotecnico, tubo, materiale, N e terreno</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Sezione in c a</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Come risponde e si verifica una sezione assegnata</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Geometria, barre, materiali e combinazioni N M V T</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Sezione composta</w:t>
            </w:r>
          </w:p>
        </w:tc>
        <w:tc>
          <w:tcPr>
            <w:tcW w:type="dxa" w:w="3402"/>
            <w:vAlign w:val="center"/>
            <w:shd w:fill="F2F5F8"/>
            <w:tcMar>
              <w:top w:w="100" w:type="dxa"/>
              <w:left w:w="100" w:type="dxa"/>
              <w:bottom w:w="100" w:type="dxa"/>
              <w:right w:w="100" w:type="dxa"/>
            </w:tcMar>
          </w:tcPr>
          <w:p>
            <w:pPr>
              <w:spacing w:after="40" w:before="40" w:line="252" w:lineRule="auto"/>
            </w:pPr>
            <w:r>
              <w:rPr>
                <w:b w:val="0"/>
                <w:color w:val="000000"/>
                <w:sz w:val="18"/>
              </w:rPr>
              <w:t>Come si ripartiscono le tensioni in una sezione da ponte attraverso le fasi</w:t>
            </w:r>
          </w:p>
        </w:tc>
        <w:tc>
          <w:tcPr>
            <w:tcW w:type="dxa" w:w="3969"/>
            <w:vAlign w:val="center"/>
            <w:shd w:fill="F2F5F8"/>
            <w:tcMar>
              <w:top w:w="100" w:type="dxa"/>
              <w:left w:w="100" w:type="dxa"/>
              <w:bottom w:w="100" w:type="dxa"/>
              <w:right w:w="100" w:type="dxa"/>
            </w:tcMar>
          </w:tcPr>
          <w:p>
            <w:pPr>
              <w:spacing w:after="40" w:before="40" w:line="252" w:lineRule="auto"/>
            </w:pPr>
            <w:r>
              <w:rPr>
                <w:b w:val="0"/>
                <w:color w:val="000000"/>
                <w:sz w:val="18"/>
              </w:rPr>
              <w:t>H saldato, soletta, piatti, barre, fasi e metodo</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Bridge Design</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Quale configurazione preliminare, quantità, costo e CO₂ sono plausibili</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Sito, campate, larghezza, famiglia, fondazioni e listino</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Calcestruzzo e durabilità</w:t>
            </w:r>
          </w:p>
        </w:tc>
        <w:tc>
          <w:tcPr>
            <w:tcW w:type="dxa" w:w="3402"/>
            <w:vAlign w:val="center"/>
            <w:shd w:fill="F2F5F8"/>
            <w:tcMar>
              <w:top w:w="100" w:type="dxa"/>
              <w:left w:w="100" w:type="dxa"/>
              <w:bottom w:w="100" w:type="dxa"/>
              <w:right w:w="100" w:type="dxa"/>
            </w:tcMar>
          </w:tcPr>
          <w:p>
            <w:pPr>
              <w:spacing w:after="40" w:before="40" w:line="252" w:lineRule="auto"/>
            </w:pPr>
            <w:r>
              <w:rPr>
                <w:b w:val="0"/>
                <w:color w:val="000000"/>
                <w:sz w:val="18"/>
              </w:rPr>
              <w:t>Quali requisiti del materiale e del copriferro derivano dalle scelte assegnate</w:t>
            </w:r>
          </w:p>
        </w:tc>
        <w:tc>
          <w:tcPr>
            <w:tcW w:type="dxa" w:w="3969"/>
            <w:vAlign w:val="center"/>
            <w:shd w:fill="F2F5F8"/>
            <w:tcMar>
              <w:top w:w="100" w:type="dxa"/>
              <w:left w:w="100" w:type="dxa"/>
              <w:bottom w:w="100" w:type="dxa"/>
              <w:right w:w="100" w:type="dxa"/>
            </w:tcMar>
          </w:tcPr>
          <w:p>
            <w:pPr>
              <w:spacing w:after="40" w:before="40" w:line="252" w:lineRule="auto"/>
            </w:pPr>
            <w:r>
              <w:rPr>
                <w:b w:val="0"/>
                <w:color w:val="000000"/>
                <w:sz w:val="18"/>
              </w:rPr>
              <w:t>Esposizioni, vita, materiale, diametri e condizioni esecutive</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Acciaio per armature</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Quali proprietà e diagramma usare per l'armatura</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Classe o dati personalizzati e coefficienti</w:t>
            </w:r>
          </w:p>
        </w:tc>
      </w:tr>
    </w:tbl>
    <w:p>
      <w:pPr>
        <w:spacing w:after="40"/>
      </w:pPr>
    </w:p>
    <w:p>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pPr>
        <w:pStyle w:val="Heading2"/>
      </w:pPr>
      <w:r>
        <w:t>1 3 Leggere e compilare i campi</w:t>
      </w:r>
    </w:p>
    <w:p>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ma un valore in MPa è mille volte il corrispondente valore espresso in kPa.</w:t>
      </w:r>
    </w:p>
    <w:p>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bookmarkStart w:id="2" w:name="chapter_1"/>
      <w:pPr>
        <w:pStyle w:val="Heading1"/>
      </w:pPr>
      <w:r>
        <w:t>2 Progetti e gestione del lavoro</w:t>
      </w:r>
      <w:bookmarkEnd w:id="2"/>
    </w:p>
    <w:p>
      <w:pPr>
        <w:pStyle w:val="Heading2"/>
      </w:pPr>
      <w:r>
        <w:t>2 1 Costruire una struttura leggibile</w:t>
      </w:r>
    </w:p>
    <w:p>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r>
        <w:t>Usare nomi che distinguano oggetto e condizione: «Pila 2 sezione base», «Palo 1000 sondaggio S3» o «Impalcato campata positiva». Nomi generici ripetuti rendono difficile capire quale dato sia stato modificato e quale foglio stia governando la condivisione.</w:t>
      </w:r>
    </w:p>
    <w:p>
      <w:pPr>
        <w:pStyle w:val="Heading2"/>
      </w:pPr>
      <w:r>
        <w:t>2 2 Comprendere i dati comuni</w:t>
      </w:r>
    </w:p>
    <w:p>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 da un antenato.</w:t>
      </w:r>
    </w:p>
    <w:p>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pPr>
        <w:pStyle w:val="Heading2"/>
      </w:pPr>
      <w:r>
        <w:t>2 3 Spostare duplicare e annullare</w:t>
      </w:r>
    </w:p>
    <w:p>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pPr>
        <w:pStyle w:val="Heading2"/>
      </w:pPr>
      <w:r>
        <w:t>2 4 Usare le revisioni</w:t>
      </w:r>
    </w:p>
    <w:p>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bookmarkStart w:id="3" w:name="chapter_2"/>
      <w:pPr>
        <w:pStyle w:val="Heading1"/>
      </w:pPr>
      <w:r>
        <w:t>3 Materiali e durabilità</w:t>
      </w:r>
      <w:bookmarkEnd w:id="3"/>
    </w:p>
    <w:p>
      <w:pPr>
        <w:pStyle w:val="Heading2"/>
      </w:pPr>
      <w:r>
        <w:t>3 1 Preparare il calcestruzzo</w:t>
      </w:r>
    </w:p>
    <w:p>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pPr>
        <w:pStyle w:val="Heading2"/>
      </w:pPr>
      <w:r>
        <w:t>3 2 Preparare l'acciaio per armature</w:t>
      </w:r>
    </w:p>
    <w:p>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bookmarkStart w:id="4" w:name="chapter_3"/>
      <w:pPr>
        <w:pStyle w:val="Heading1"/>
      </w:pPr>
      <w:r>
        <w:t>4 Palo verticale</w:t>
      </w:r>
      <w:bookmarkEnd w:id="4"/>
    </w:p>
    <w:p>
      <w:pPr>
        <w:pStyle w:val="Heading2"/>
      </w:pPr>
      <w:r>
        <w:t>4 1 Compilazione ordinata</w:t>
      </w:r>
    </w:p>
    <w:p>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pPr>
        <w:pStyle w:val="Heading2"/>
      </w:pPr>
      <w:r>
        <w:t>4 2 Coefficienti e gruppo di pali</w:t>
      </w:r>
    </w:p>
    <w:p>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pPr>
        <w:pStyle w:val="Heading2"/>
      </w:pPr>
      <w:r>
        <w:t>4 3 Leggere i risultati</w:t>
      </w:r>
    </w:p>
    <w:p>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pPr>
        <w:pStyle w:val="Heading2"/>
      </w:pPr>
      <w:r>
        <w:t>4 4 Esempio di controllo manuale</w:t>
      </w:r>
    </w:p>
    <w:p>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bookmarkStart w:id="5" w:name="chapter_4"/>
      <w:pPr>
        <w:pStyle w:val="Heading1"/>
      </w:pPr>
      <w:r>
        <w:t>5 Micropalo verticale</w:t>
      </w:r>
      <w:bookmarkEnd w:id="5"/>
    </w:p>
    <w:p>
      <w:pPr>
        <w:pStyle w:val="Heading2"/>
      </w:pPr>
      <w:r>
        <w:t>5 1 Dati del bulbo e dell'iniezione</w:t>
      </w:r>
    </w:p>
    <w:p>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pPr>
        <w:pStyle w:val="Heading2"/>
      </w:pPr>
      <w:r>
        <w:t>5 2 Tubo e peso</w:t>
      </w:r>
    </w:p>
    <w:p>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bookmarkStart w:id="6" w:name="chapter_5"/>
      <w:pPr>
        <w:pStyle w:val="Heading1"/>
      </w:pPr>
      <w:r>
        <w:t>6 Pali e micropali caricati orizzontalmente</w:t>
      </w:r>
      <w:bookmarkEnd w:id="6"/>
    </w:p>
    <w:p>
      <w:pPr>
        <w:pStyle w:val="Heading2"/>
      </w:pPr>
      <w:r>
        <w:t>6 1 Preparare un modello coerente</w:t>
      </w:r>
    </w:p>
    <w:p>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pPr>
        <w:pStyle w:val="Heading2"/>
      </w:pPr>
      <w:r>
        <w:t>6 2 Momento resistente del palo in calcestruzzo</w:t>
      </w:r>
    </w:p>
    <w:p>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pPr>
        <w:pStyle w:val="Heading2"/>
      </w:pPr>
      <w:r>
        <w:t>6 3 Sezione CHS del micropalo</w:t>
      </w:r>
    </w:p>
    <w:p>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r>
        <w:t>Un tubo classificato fuori campo richiede un altro calcolo di sezione oppure un My documentato. Non basta che l'area del tubo sia grande: snellezza locale, sforzo normale e possibile instabilità globale pongono problemi differenti.</w:t>
      </w:r>
    </w:p>
    <w:p>
      <w:pPr>
        <w:pStyle w:val="Heading2"/>
      </w:pPr>
      <w:r>
        <w:t>6 4 Interpretare diagrammi e capacità</w:t>
      </w:r>
    </w:p>
    <w:p>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bookmarkStart w:id="7" w:name="chapter_6"/>
      <w:pPr>
        <w:pStyle w:val="Heading1"/>
      </w:pPr>
      <w:r>
        <w:t>7 Sezione in calcestruzzo armato</w:t>
      </w:r>
      <w:bookmarkEnd w:id="7"/>
    </w:p>
    <w:p>
      <w:pPr>
        <w:pStyle w:val="Heading2"/>
      </w:pPr>
      <w:r>
        <w:t>7 1 Geometria barre e materiali</w:t>
      </w:r>
    </w:p>
    <w:p>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r>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pPr>
        <w:pStyle w:val="Heading2"/>
      </w:pPr>
      <w:r>
        <w:t>7 2 Azioni assi e convenzioni</w:t>
      </w:r>
    </w:p>
    <w:p>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pPr>
        <w:pStyle w:val="Heading2"/>
      </w:pPr>
      <w:r>
        <w:t>7 3 Domini tridimensionali e bidimensionali</w:t>
      </w:r>
    </w:p>
    <w:p>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r>
        <w:t>I nomi Plastico ed Elastico descrivono i modelli disponibili. Eventuali chiavi storiche SLU e SLV nei file non vanno interpretate come una generazione automatica di verifiche sismiche a un livello di danno.</w:t>
      </w:r>
    </w:p>
    <w:p>
      <w:pPr>
        <w:pStyle w:val="Heading2"/>
      </w:pPr>
      <w:r>
        <w:t>7 4 Tensioni e fessurazione</w:t>
      </w:r>
    </w:p>
    <w:p>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r>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pPr>
        <w:pStyle w:val="Heading2"/>
      </w:pPr>
      <w:r>
        <w:t>7 5 Taglio torsione e dettagli</w:t>
      </w:r>
    </w:p>
    <w:p>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pPr>
        <w:pStyle w:val="Heading2"/>
      </w:pPr>
      <w:r>
        <w:t>7 6 Curva momento curvatura e aggiornamento</w:t>
      </w:r>
    </w:p>
    <w:p>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bookmarkStart w:id="8" w:name="chapter_7"/>
      <w:pPr>
        <w:pStyle w:val="Heading1"/>
      </w:pPr>
      <w:r>
        <w:t>8 Sezione composta da ponte</w:t>
      </w:r>
      <w:bookmarkEnd w:id="8"/>
    </w:p>
    <w:p>
      <w:pPr>
        <w:pStyle w:val="Heading2"/>
      </w:pPr>
      <w:r>
        <w:t>8 1 Definire la sezione locale</w:t>
      </w:r>
    </w:p>
    <w:p>
      <w:r>
        <w:t>Nel pannello di controllo inserire H saldato, soletta, piattabande inferiori aggiunte e armature opzionali. L'altezza dell'anima è quella netta fra le flange, secondo le etichette del modulo. Le due piattabande inferiori sono piastre reali distinte, con spessore e larghezza propri. La seconda non deve essere più larga della prima nel modello disponibile.</w:t>
      </w:r>
    </w:p>
    <w:p>
      <w:r>
        <w:t>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pPr>
        <w:pStyle w:val="Heading2"/>
      </w:pPr>
      <w:r>
        <w:t>8 2 Scegliere consapevolmente il metodo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02"/>
        <w:gridCol w:w="3969"/>
      </w:tblGrid>
      <w:tr>
        <w:trPr>
          <w:tblHeader/>
          <w:cantSplit/>
        </w:trPr>
        <w:tc>
          <w:tcPr>
            <w:tcW w:type="dxa" w:w="2268"/>
            <w:vAlign w:val="center"/>
            <w:shd w:fill="173858"/>
            <w:tcMar>
              <w:top w:w="100" w:type="dxa"/>
              <w:left w:w="100" w:type="dxa"/>
              <w:bottom w:w="100" w:type="dxa"/>
              <w:right w:w="100" w:type="dxa"/>
            </w:tcMar>
          </w:tcPr>
          <w:p>
            <w:pPr>
              <w:spacing w:after="40" w:before="40" w:line="252" w:lineRule="auto"/>
            </w:pPr>
            <w:r>
              <w:rPr>
                <w:b/>
                <w:color w:val="FFFFFF"/>
                <w:sz w:val="18"/>
              </w:rPr>
              <w:t>Metodo</w:t>
            </w:r>
          </w:p>
        </w:tc>
        <w:tc>
          <w:tcPr>
            <w:tcW w:type="dxa" w:w="3402"/>
            <w:vAlign w:val="center"/>
            <w:shd w:fill="173858"/>
            <w:tcMar>
              <w:top w:w="100" w:type="dxa"/>
              <w:left w:w="100" w:type="dxa"/>
              <w:bottom w:w="100" w:type="dxa"/>
              <w:right w:w="100" w:type="dxa"/>
            </w:tcMar>
          </w:tcPr>
          <w:p>
            <w:pPr>
              <w:spacing w:after="40" w:before="40" w:line="252" w:lineRule="auto"/>
              <w:jc w:val="center"/>
            </w:pPr>
            <w:r>
              <w:rPr>
                <w:b/>
                <w:color w:val="FFFFFF"/>
                <w:sz w:val="18"/>
              </w:rPr>
              <w:t>Impiego operativo</w:t>
            </w:r>
          </w:p>
        </w:tc>
        <w:tc>
          <w:tcPr>
            <w:tcW w:type="dxa" w:w="3969"/>
            <w:vAlign w:val="center"/>
            <w:shd w:fill="173858"/>
            <w:tcMar>
              <w:top w:w="100" w:type="dxa"/>
              <w:left w:w="100" w:type="dxa"/>
              <w:bottom w:w="100" w:type="dxa"/>
              <w:right w:w="100" w:type="dxa"/>
            </w:tcMar>
          </w:tcPr>
          <w:p>
            <w:pPr>
              <w:spacing w:after="40" w:before="40" w:line="252" w:lineRule="auto"/>
            </w:pPr>
            <w:r>
              <w:rPr>
                <w:b/>
                <w:color w:val="FFFFFF"/>
                <w:sz w:val="18"/>
              </w:rPr>
              <w:t>Aspetto da controllare</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Cumulativo</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Somma di contributi elastici delle fasi sulla geometria efficace comune</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Non rappresenta una memoria costitutiva cronologica</w:t>
            </w:r>
          </w:p>
        </w:tc>
      </w:tr>
      <w:tr>
        <w:trPr>
          <w:cantSplit/>
        </w:trPr>
        <w:tc>
          <w:tcPr>
            <w:tcW w:type="dxa" w:w="2268"/>
            <w:vAlign w:val="center"/>
            <w:shd w:fill="F2F5F8"/>
            <w:tcMar>
              <w:top w:w="100" w:type="dxa"/>
              <w:left w:w="100" w:type="dxa"/>
              <w:bottom w:w="100" w:type="dxa"/>
              <w:right w:w="100" w:type="dxa"/>
            </w:tcMar>
          </w:tcPr>
          <w:p>
            <w:pPr>
              <w:spacing w:after="40" w:before="40" w:line="252" w:lineRule="auto"/>
            </w:pPr>
            <w:r>
              <w:rPr>
                <w:b w:val="0"/>
                <w:color w:val="000000"/>
                <w:sz w:val="18"/>
              </w:rPr>
              <w:t>Storico lineare</w:t>
            </w:r>
          </w:p>
        </w:tc>
        <w:tc>
          <w:tcPr>
            <w:tcW w:type="dxa" w:w="3402"/>
            <w:vAlign w:val="center"/>
            <w:shd w:fill="F2F5F8"/>
            <w:tcMar>
              <w:top w:w="100" w:type="dxa"/>
              <w:left w:w="100" w:type="dxa"/>
              <w:bottom w:w="100" w:type="dxa"/>
              <w:right w:w="100" w:type="dxa"/>
            </w:tcMar>
          </w:tcPr>
          <w:p>
            <w:pPr>
              <w:spacing w:after="40" w:before="40" w:line="252" w:lineRule="auto"/>
            </w:pPr>
            <w:r>
              <w:rPr>
                <w:b w:val="0"/>
                <w:color w:val="000000"/>
                <w:sz w:val="18"/>
              </w:rPr>
              <w:t>Successione di fasi con deformazioni e riferimento al getto</w:t>
            </w:r>
          </w:p>
        </w:tc>
        <w:tc>
          <w:tcPr>
            <w:tcW w:type="dxa" w:w="3969"/>
            <w:vAlign w:val="center"/>
            <w:shd w:fill="F2F5F8"/>
            <w:tcMar>
              <w:top w:w="100" w:type="dxa"/>
              <w:left w:w="100" w:type="dxa"/>
              <w:bottom w:w="100" w:type="dxa"/>
              <w:right w:w="100" w:type="dxa"/>
            </w:tcMar>
          </w:tcPr>
          <w:p>
            <w:pPr>
              <w:spacing w:after="40" w:before="40" w:line="252" w:lineRule="auto"/>
            </w:pPr>
            <w:r>
              <w:rPr>
                <w:b w:val="0"/>
                <w:color w:val="000000"/>
                <w:sz w:val="18"/>
              </w:rPr>
              <w:t>φ o n del nuovo incremento non rilassa automaticamente tutto il passato</w:t>
            </w:r>
          </w:p>
        </w:tc>
      </w:tr>
      <w:tr>
        <w:trPr>
          <w:cantSplit/>
        </w:trPr>
        <w:tc>
          <w:tcPr>
            <w:tcW w:type="dxa" w:w="2268"/>
            <w:vAlign w:val="center"/>
            <w:shd w:fill="FFFFFF"/>
            <w:tcMar>
              <w:top w:w="100" w:type="dxa"/>
              <w:left w:w="100" w:type="dxa"/>
              <w:bottom w:w="100" w:type="dxa"/>
              <w:right w:w="100" w:type="dxa"/>
            </w:tcMar>
          </w:tcPr>
          <w:p>
            <w:pPr>
              <w:spacing w:after="40" w:before="40" w:line="252" w:lineRule="auto"/>
            </w:pPr>
            <w:r>
              <w:rPr>
                <w:b w:val="0"/>
                <w:color w:val="000000"/>
                <w:sz w:val="18"/>
              </w:rPr>
              <w:t>Storico non lineare</w:t>
            </w:r>
          </w:p>
        </w:tc>
        <w:tc>
          <w:tcPr>
            <w:tcW w:type="dxa" w:w="3402"/>
            <w:vAlign w:val="center"/>
            <w:shd w:fill="FFFFFF"/>
            <w:tcMar>
              <w:top w:w="100" w:type="dxa"/>
              <w:left w:w="100" w:type="dxa"/>
              <w:bottom w:w="100" w:type="dxa"/>
              <w:right w:w="100" w:type="dxa"/>
            </w:tcMar>
          </w:tcPr>
          <w:p>
            <w:pPr>
              <w:spacing w:after="40" w:before="40" w:line="252" w:lineRule="auto"/>
            </w:pPr>
            <w:r>
              <w:rPr>
                <w:b w:val="0"/>
                <w:color w:val="000000"/>
                <w:sz w:val="18"/>
              </w:rPr>
              <w:t>Evoluzione a fibre con plasticità dell'acciaio e scarico elastico</w:t>
            </w:r>
          </w:p>
        </w:tc>
        <w:tc>
          <w:tcPr>
            <w:tcW w:type="dxa" w:w="3969"/>
            <w:vAlign w:val="center"/>
            <w:shd w:fill="FFFFFF"/>
            <w:tcMar>
              <w:top w:w="100" w:type="dxa"/>
              <w:left w:w="100" w:type="dxa"/>
              <w:bottom w:w="100" w:type="dxa"/>
              <w:right w:w="100" w:type="dxa"/>
            </w:tcMar>
          </w:tcPr>
          <w:p>
            <w:pPr>
              <w:spacing w:after="40" w:before="40" w:line="252" w:lineRule="auto"/>
            </w:pPr>
            <w:r>
              <w:rPr>
                <w:b w:val="0"/>
                <w:color w:val="000000"/>
                <w:sz w:val="18"/>
              </w:rPr>
              <w:t>Sezione lorda e caratteristiche istantanee; niente riduzione locale di classe 4</w:t>
            </w:r>
          </w:p>
        </w:tc>
      </w:tr>
    </w:tbl>
    <w:p>
      <w:pPr>
        <w:spacing w:after="40"/>
      </w:pPr>
    </w:p>
    <w:p>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pPr>
        <w:pStyle w:val="Heading2"/>
      </w:pPr>
      <w:r>
        <w:t>8 3 Costruire le fasi</w:t>
      </w:r>
    </w:p>
    <w:p>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pPr>
        <w:pStyle w:val="Heading2"/>
      </w:pPr>
      <w:r>
        <w:t>8 4 Leggere efficacia tensioni e controlli locali</w:t>
      </w:r>
    </w:p>
    <w:p>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pPr>
        <w:pStyle w:val="Heading2"/>
      </w:pPr>
      <w:r>
        <w:t>8 5 Curve di risposta</w:t>
      </w:r>
    </w:p>
    <w:p>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r>
        <w:t>La vista separata segue la fase selezionata. F11 la porta a schermo intero ed Esc esce da quella modalità. CSV ed esportazioni delle fibre consentono un controllo numerico dei dati; la precisione del file non è limitata ai decimali mostrati a video.</w:t>
      </w:r>
    </w:p>
    <w:p>
      <w:bookmarkStart w:id="9" w:name="chapter_8"/>
      <w:pPr>
        <w:pStyle w:val="Heading1"/>
      </w:pPr>
      <w:r>
        <w:t>9 Bridge Design</w:t>
      </w:r>
      <w:bookmarkEnd w:id="9"/>
    </w:p>
    <w:p>
      <w:pPr>
        <w:pStyle w:val="Heading2"/>
      </w:pPr>
      <w:r>
        <w:t>9 1 Scopo e struttura della finestra</w:t>
      </w:r>
    </w:p>
    <w:p>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pPr>
        <w:keepNext/>
      </w:pPr>
      <w:r>
        <w:drawing>
          <wp:inline xmlns:a="http://schemas.openxmlformats.org/drawingml/2006/main" xmlns:pic="http://schemas.openxmlformats.org/drawingml/2006/picture">
            <wp:extent cx="6120000" cy="3677403"/>
            <wp:docPr id="1" name="Picture 1" descr="Finestra Bridge Design con impostazione ANTHEA"/>
            <wp:cNvGraphicFramePr>
              <a:graphicFrameLocks noChangeAspect="1"/>
            </wp:cNvGraphicFramePr>
            <a:graphic>
              <a:graphicData uri="http://schemas.openxmlformats.org/drawingml/2006/picture">
                <pic:pic>
                  <pic:nvPicPr>
                    <pic:cNvPr id="0" name="bridge_design_1600.png"/>
                    <pic:cNvPicPr/>
                  </pic:nvPicPr>
                  <pic:blipFill>
                    <a:blip r:embed="rId11"/>
                    <a:stretch>
                      <a:fillRect/>
                    </a:stretch>
                  </pic:blipFill>
                  <pic:spPr>
                    <a:xfrm>
                      <a:off x="0" y="0"/>
                      <a:ext cx="6120000" cy="3677403"/>
                    </a:xfrm>
                    <a:prstGeom prst="rect"/>
                  </pic:spPr>
                </pic:pic>
              </a:graphicData>
            </a:graphic>
          </wp:inline>
        </w:drawing>
      </w:r>
    </w:p>
    <w:p>
      <w:pPr>
        <w:pStyle w:val="Caption"/>
      </w:pPr>
      <w:r>
        <w:t>Finestra Bridge Design con impostazione ANTHEA</w:t>
      </w:r>
    </w:p>
    <w:p>
      <w:pPr>
        <w:pStyle w:val="Heading2"/>
      </w:pPr>
      <w:r>
        <w:t>9 2 Impostare il sito e le campate</w:t>
      </w:r>
    </w:p>
    <w:p>
      <w:r>
        <w:t>In Sito scegliere ostacolo, terreno convenzionale, lunghezza totale, quota sul terreno, larghezza dell'ostacolo e componenti della carreggiata. La larghezza del ponte deriva da corsie, banchine, spartitraffico e barriere. Il numero di corsie è complessivo, non il numero per direzione. La configurazione iniziale di quattro corsie da 3,65 m, due banchine da 1,50 m, spartitraffico da 1,60 m e due barriere da 0,50 m produce 20,20 m.</w:t>
      </w:r>
    </w:p>
    <w:p>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pPr>
        <w:pStyle w:val="Heading2"/>
      </w:pPr>
      <w:r>
        <w:t>9 3 Scegliere famiglia e dimensioni</w:t>
      </w:r>
    </w:p>
    <w:p>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pPr>
        <w:pStyle w:val="Heading2"/>
      </w:pPr>
      <w:r>
        <w:t>9 4 Pile fondazioni e materiali</w:t>
      </w:r>
    </w:p>
    <w:p>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pPr>
        <w:pStyle w:val="Heading2"/>
      </w:pPr>
      <w:r>
        <w:t>9 5 Personalizzare il listino</w:t>
      </w:r>
    </w:p>
    <w:p>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r>
        <w:t>Modificare un prezzo cambia il costo, lasciando invariate geometria, azioni e CO₂. Modificare un'incidenza di armatura cambia quantità, costo ed emissioni. Questo è un controllo pratico utile per distinguere le due famiglie di input.</w:t>
      </w:r>
    </w:p>
    <w:p>
      <w:pPr>
        <w:pStyle w:val="Heading2"/>
      </w:pPr>
      <w:r>
        <w:t>9 6 CO₂ alternative e confronto A B</w:t>
      </w:r>
    </w:p>
    <w:p>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pPr>
        <w:pStyle w:val="Heading2"/>
      </w:pPr>
      <w:r>
        <w:t>9 7 Risultati ed esportazioni</w:t>
      </w:r>
    </w:p>
    <w:p>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r>
        <w:t>Il CSV contiene quantità e prezzi; il PNG conserva la vista; il comando di stampa produce una presentazione della scheda. Il report Word raccoglie configurazione, viste, quantità, ipotesi e risultati. Salva conserva il foglio riapribile con il confronto A/B. Per poter cambiare prezzi in seguito conservare l'archivio, non soltanto il report Word.</w:t>
      </w:r>
    </w:p>
    <w:p>
      <w:bookmarkStart w:id="10" w:name="chapter_9"/>
      <w:pPr>
        <w:pStyle w:val="Heading1"/>
      </w:pPr>
      <w:r>
        <w:t>10 Salvataggio e report</w:t>
      </w:r>
      <w:bookmarkEnd w:id="10"/>
    </w:p>
    <w:p>
      <w:pPr>
        <w:pStyle w:val="Heading2"/>
      </w:pPr>
      <w:r>
        <w:t>10 1 Conservare dati modificabili</w:t>
      </w:r>
    </w:p>
    <w:p>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pPr>
        <w:pStyle w:val="Heading2"/>
      </w:pPr>
      <w:r>
        <w:t>10 2 Report del singolo foglio e del progetto</w:t>
      </w:r>
    </w:p>
    <w:p>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bookmarkStart w:id="11" w:name="chapter_10"/>
      <w:pPr>
        <w:pStyle w:val="Heading1"/>
      </w:pPr>
      <w:r>
        <w:t>11 Percorso completo per un primo progetto</w:t>
      </w:r>
      <w:bookmarkEnd w:id="11"/>
    </w:p>
    <w:p>
      <w:pPr>
        <w:ind w:left="283" w:hanging="283"/>
      </w:pPr>
      <w:r>
        <w:t>1. Avviare ANTHEA, creare un progetto e assegnargli un nome riconoscibile. Salvare subito l'archivio in una cartella di commessa.</w:t>
      </w:r>
    </w:p>
    <w:p>
      <w:pPr>
        <w:ind w:left="283" w:hanging="283"/>
      </w:pPr>
      <w:r>
        <w:t>2. Definire i materiali comuni e organizzare i rami prima di moltiplicare i fogli. Controllare il significato della condivisione ai livelli scelti.</w:t>
      </w:r>
    </w:p>
    <w:p>
      <w:pPr>
        <w:ind w:left="283" w:hanging="283"/>
      </w:pPr>
      <w:r>
        <w:t>3. Per un ponte preliminare aprire Bridge Design, impostare sito, larghezza e famiglia, quindi sostituire il listino. Fissare A e costruire una seconda configurazione.</w:t>
      </w:r>
    </w:p>
    <w:p>
      <w:pPr>
        <w:ind w:left="283" w:hanging="283"/>
      </w:pPr>
      <w:r>
        <w:t>4. Leggere gli avvisi, le campate effettive e il dettaglio delle quantità. Salvare la soluzione prescelta con una nota che descriva le ipotesi ancora da consolidare.</w:t>
      </w:r>
    </w:p>
    <w:p>
      <w:pPr>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pPr>
        <w:ind w:left="283" w:hanging="283"/>
      </w:pPr>
      <w:r>
        <w:t>6. Esaminare risultati, convergenza e verifiche mancanti. Fare almeno un controllo manuale di unità ed equilibrio per ciascun tipo di modello.</w:t>
      </w:r>
    </w:p>
    <w:p>
      <w:pPr>
        <w:ind w:left="283" w:hanging="283"/>
      </w:pPr>
      <w:r>
        <w:t>7. Risolvere i conflitti dei dati comuni, creare una revisione e generare il report del ramo o del progetto. Conservare insieme archivio, report e identificazione della versione.</w:t>
      </w:r>
    </w:p>
    <w:p>
      <w:r>
        <w:t>Questo percorso può essere abbreviato per un controllo isolato: il progetto non è obbligatorio per usare un singolo foglio. Diventa utile quando più calcoli devono restare coerenti e quando si vogliono confrontare modifiche nel tempo.</w:t>
      </w:r>
    </w:p>
    <w:p>
      <w:bookmarkStart w:id="12" w:name="chapter_11"/>
      <w:pPr>
        <w:pStyle w:val="Heading1"/>
      </w:pPr>
      <w:r>
        <w:t>12 Problemi frequenti e controlli finali</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tblHeader/>
          <w:cantSplit/>
        </w:trPr>
        <w:tc>
          <w:tcPr>
            <w:tcW w:type="dxa" w:w="2835"/>
            <w:vAlign w:val="center"/>
            <w:shd w:fill="173858"/>
            <w:tcMar>
              <w:top w:w="100" w:type="dxa"/>
              <w:left w:w="100" w:type="dxa"/>
              <w:bottom w:w="100" w:type="dxa"/>
              <w:right w:w="100" w:type="dxa"/>
            </w:tcMar>
          </w:tcPr>
          <w:p>
            <w:pPr>
              <w:spacing w:after="40" w:before="40" w:line="252" w:lineRule="auto"/>
            </w:pPr>
            <w:r>
              <w:rPr>
                <w:b/>
                <w:color w:val="FFFFFF"/>
                <w:sz w:val="18"/>
              </w:rPr>
              <w:t>Situazione</w:t>
            </w:r>
          </w:p>
        </w:tc>
        <w:tc>
          <w:tcPr>
            <w:tcW w:type="dxa" w:w="6803"/>
            <w:vAlign w:val="center"/>
            <w:shd w:fill="173858"/>
            <w:tcMar>
              <w:top w:w="100" w:type="dxa"/>
              <w:left w:w="100" w:type="dxa"/>
              <w:bottom w:w="100" w:type="dxa"/>
              <w:right w:w="100" w:type="dxa"/>
            </w:tcMar>
          </w:tcPr>
          <w:p>
            <w:pPr>
              <w:spacing w:after="40" w:before="40" w:line="252" w:lineRule="auto"/>
            </w:pPr>
            <w:r>
              <w:rPr>
                <w:b/>
                <w:color w:val="FFFFFF"/>
                <w:sz w:val="18"/>
              </w:rPr>
              <w:t>Interpretazione e intervento</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Risultati assenti dopo una modifica</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Completare il campo segnalato e verificare intervalli e selezioni obbligatorie</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Risultati marcati DA AGGIORNARE</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Attendere o avviare il ricalcolo previsto; non riutilizzare il valore precedente</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Valori differiscono di 1000</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Controllare MPa e kPa, N e kN, mm e m, momenti in Nmm e kNm</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Modifica locale genera un conflitto</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Individuare il riferimento superiore che governa quella proprietà</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Un parametro non cambia il risultato atteso</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Controllare famiglia, metodo attivo, automatismi e campo di applicazione</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File riaperto senza alcuni comandi</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Controllare versione dell'eseguibile e compatibilità dell'archivio</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Fessurazione o verifica locale non disponibile</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Leggere il motivo specifico; la soluzione tensionale non garantisce la disponibilità di ogni controllo</w:t>
            </w:r>
          </w:p>
        </w:tc>
      </w:tr>
      <w:tr>
        <w:trPr>
          <w:cantSplit/>
        </w:trPr>
        <w:tc>
          <w:tcPr>
            <w:tcW w:type="dxa" w:w="2835"/>
            <w:vAlign w:val="center"/>
            <w:shd w:fill="F2F5F8"/>
            <w:tcMar>
              <w:top w:w="100" w:type="dxa"/>
              <w:left w:w="100" w:type="dxa"/>
              <w:bottom w:w="100" w:type="dxa"/>
              <w:right w:w="100" w:type="dxa"/>
            </w:tcMar>
          </w:tcPr>
          <w:p>
            <w:pPr>
              <w:spacing w:after="40" w:before="40" w:line="252" w:lineRule="auto"/>
            </w:pPr>
            <w:r>
              <w:rPr>
                <w:b w:val="0"/>
                <w:color w:val="000000"/>
                <w:sz w:val="18"/>
              </w:rPr>
              <w:t>Ponte con costo inatteso</w:t>
            </w:r>
          </w:p>
        </w:tc>
        <w:tc>
          <w:tcPr>
            <w:tcW w:type="dxa" w:w="6803"/>
            <w:vAlign w:val="center"/>
            <w:shd w:fill="F2F5F8"/>
            <w:tcMar>
              <w:top w:w="100" w:type="dxa"/>
              <w:left w:w="100" w:type="dxa"/>
              <w:bottom w:w="100" w:type="dxa"/>
              <w:right w:w="100" w:type="dxa"/>
            </w:tcMar>
          </w:tcPr>
          <w:p>
            <w:pPr>
              <w:spacing w:after="40" w:before="40" w:line="252" w:lineRule="auto"/>
            </w:pPr>
            <w:r>
              <w:rPr>
                <w:b w:val="0"/>
                <w:color w:val="000000"/>
                <w:sz w:val="18"/>
              </w:rPr>
              <w:t>Controllare larghezza totale, numero di campate, fondazioni, voci del listino e maggiorazioni</w:t>
            </w:r>
          </w:p>
        </w:tc>
      </w:tr>
      <w:tr>
        <w:trPr>
          <w:cantSplit/>
        </w:trPr>
        <w:tc>
          <w:tcPr>
            <w:tcW w:type="dxa" w:w="2835"/>
            <w:vAlign w:val="center"/>
            <w:shd w:fill="FFFFFF"/>
            <w:tcMar>
              <w:top w:w="100" w:type="dxa"/>
              <w:left w:w="100" w:type="dxa"/>
              <w:bottom w:w="100" w:type="dxa"/>
              <w:right w:w="100" w:type="dxa"/>
            </w:tcMar>
          </w:tcPr>
          <w:p>
            <w:pPr>
              <w:spacing w:after="40" w:before="40" w:line="252" w:lineRule="auto"/>
            </w:pPr>
            <w:r>
              <w:rPr>
                <w:b w:val="0"/>
                <w:color w:val="000000"/>
                <w:sz w:val="18"/>
              </w:rPr>
              <w:t>Curva non lineare interrotta</w:t>
            </w:r>
          </w:p>
        </w:tc>
        <w:tc>
          <w:tcPr>
            <w:tcW w:type="dxa" w:w="6803"/>
            <w:vAlign w:val="center"/>
            <w:shd w:fill="FFFFFF"/>
            <w:tcMar>
              <w:top w:w="100" w:type="dxa"/>
              <w:left w:w="100" w:type="dxa"/>
              <w:bottom w:w="100" w:type="dxa"/>
              <w:right w:w="100" w:type="dxa"/>
            </w:tcMar>
          </w:tcPr>
          <w:p>
            <w:pPr>
              <w:spacing w:after="40" w:before="40" w:line="252" w:lineRule="auto"/>
            </w:pPr>
            <w:r>
              <w:rPr>
                <w:b w:val="0"/>
                <w:color w:val="000000"/>
                <w:sz w:val="18"/>
              </w:rPr>
              <w:t>Controllare convergenza, incremento, stato iniziale e limite del materiale</w:t>
            </w:r>
          </w:p>
        </w:tc>
      </w:tr>
    </w:tbl>
    <w:p>
      <w:pPr>
        <w:spacing w:after="40"/>
      </w:pPr>
    </w:p>
    <w:p>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pPr>
        <w:pStyle w:val="Heading2"/>
      </w:pPr>
      <w:r>
        <w:t>Riferimenti per approfondire</w:t>
      </w:r>
    </w:p>
    <w:p>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Edizione 1 · 26 settembre 2026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6"/>
      </w:rPr>
      <w:t>ANTHEA  ·  Guida pratica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60"/>
      <w:contextualSpacing/>
    </w:pPr>
    <w:rPr>
      <w:rFonts w:asciiTheme="majorHAnsi" w:eastAsiaTheme="majorEastAsia" w:hAnsiTheme="majorHAnsi" w:cstheme="majorBidi" w:ascii="Calibri" w:hAnsi="Calibri"/>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60" w:after="16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Guida pratica</dc:subject>
  <dc:creator>ANTHEA</dc:creator>
  <cp:keywords>Manuale; ANTHEA; 2026-09-26</cp:keywords>
  <dc:description>generated by python-docx</dc:description>
  <cp:lastModifiedBy/>
  <cp:revision>1</cp:revision>
  <dcterms:created xsi:type="dcterms:W3CDTF">2013-12-23T23:15:00Z</dcterms:created>
  <dcterms:modified xsi:type="dcterms:W3CDTF">2013-12-23T23:15:00Z</dcterms:modified>
  <cp:category/>
</cp:coreProperties>
</file>