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Carichi EN · ufficio con partizioni mobili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1991-1-1:2002</w:t>
      </w:r>
    </w:p>
    <w:p>
      <w:pPr>
        <w:spacing w:after="100"/>
      </w:pPr>
      <w:r>
        <w:rPr>
          <w:rFonts w:ascii="Arial" w:hAnsi="Arial"/>
          <w:sz w:val="18"/>
        </w:rPr>
        <w:t>Permanenti per strati e sovraccarichi degli edifici; casi globali e locali separati</w:t>
      </w:r>
    </w:p>
    <w:p>
      <w:r>
        <w:drawing>
          <inline xmlns="http://schemas.openxmlformats.org/drawingml/2006/wordprocessingDrawing">
            <extent cx="6096000" cy="2438400"/>
            <docPr id="1" name="carich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carich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Destinazione d’uso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B1 · Uffici non aperti al pubblico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sovraccarichi (obbligatorio EN / E1 / G)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Distribuito qk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kN/m²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Concentrato per impronta Qk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4,5 kN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Orizzontale locale Hk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kN/m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Lato impronta EN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Peso lineare partizioni equivalenti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kN/m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Confermo ripartizione e applicabilità delle partizioni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Riduzione sovraccarichi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Nessuna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tributaria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Soletta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Spessore strato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Peso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kN/m³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Soletta · Strato strutturale (G1)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Massetto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Spessore strato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0,06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Peso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kN/m³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Massetto · Strato strutturale (G1)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Spessore strato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0,02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Peso specifico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 kN/m³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Strati permanenti · Pavimento · Strato strutturale (G1)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Soletta · Permanente strutturale G1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6,25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 = spessore × peso specifico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Massetto · Permanente non strutturale G2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1,2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 = spessore × peso specifico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Pavimento · Permanente non strutturale G2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0,44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 = spessore × peso specifico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partizioni · Partizioni mobili: aggiunta al sovraccarico Q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per fascia di peso lineare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Riduzione del solo sovraccarico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· EN 1991-1-1:2002 §§5.2.2, 6.3.1.2, 6.4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Distribuito globale</w:t>
      </w:r>
    </w:p>
    <w:p>
      <w:pPr>
        <w:spacing w:after="100"/>
      </w:pPr>
      <w:r>
        <w:rPr>
          <w:rFonts w:ascii="Arial" w:hAnsi="Arial"/>
          <w:sz w:val="18"/>
        </w:rPr>
        <w:t>G1 e G2 distinti; Q non simultaneo al carico concentrato locale. Larghezza tributaria uniforme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6,25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contributi pertinenti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31,25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1,64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contributi pertinenti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8,2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Somma dei contributi pertinenti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17,5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Qrid · Carico superficiale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× Qk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Qrid·b · Carico lineare sulla trave tributaria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17,5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carico superficiale × larghezza tributaria · EN 1991-1-1:2002 §§5.2.2, 6.3.1.2, 6.4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Concentrato locale</w:t>
      </w:r>
    </w:p>
    <w:p>
      <w:pPr>
        <w:spacing w:after="100"/>
      </w:pPr>
      <w:r>
        <w:rPr>
          <w:rFonts w:ascii="Arial" w:hAnsi="Arial"/>
          <w:sz w:val="18"/>
        </w:rPr>
        <w:t>Alternativo al sovraccarico distribuito. Permanenti da aggiungere nella verifica dell’elemento; nessuna riduzione del carico concentrato.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 · Carico per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Assegnato / tabellato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Numero impronte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 e G: due ruote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Lato impronta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0,05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quadrata · EN 1991-1-1:2002 §§5.2.2, 6.3.1.2, 6.4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 · Pressione di contatto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1800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Qk / a² · EN 1991-1-1:2002 §§5.2.2, 6.3.1.2, 6.4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Orizzontale locale</w:t>
      </w:r>
    </w:p>
    <w:p>
      <w:pPr>
        <w:spacing w:after="100"/>
      </w:pPr>
      <w:r>
        <w:rPr>
          <w:rFonts w:ascii="Arial" w:hAnsi="Arial"/>
          <w:sz w:val="18"/>
        </w:rPr>
        <w:t>Parapetti/partizioni; per F/G solo zone pedonali. Non comprende urti veicolari né spinte dei materiali stoccati.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Hk · Carico orizzontale lineare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Assegnato / tabellato · EN 1991-1-1:2002 §§5.2.2, 6.3.1.2, 6.4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Riduzioni per area e numero di piani alternative, mai moltiplicate. La riduzione per piani si riferisce a colonne/pareti con piani della medesima categoria; non combinarla automaticamente con ulteriori riduzioni ψ.</w:t>
      </w:r>
    </w:p>
    <w:p>
      <w:pPr>
        <w:spacing w:after="100"/>
      </w:pPr>
      <w:r>
        <w:rPr>
          <w:rFonts w:ascii="Arial" w:hAnsi="Arial"/>
          <w:sz w:val="18"/>
        </w:rPr>
        <w:t>Partizioni mobili oltre 3 kN/m: modellare posizione e direzione effettive. Riduzioni EN con valori raccomandati (A0=10 m², ψ0=0,7 per A–D), da riscontrare nell’appendice nazionale dichiarata.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