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Carichi NTC · solaio residenziale e tramezzi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Permanenti per strati e sovraccarichi degli edifici; casi globali e locali separati</w:t>
      </w:r>
    </w:p>
    <w:p>
      <w:r>
        <w:drawing>
          <inline xmlns="http://schemas.openxmlformats.org/drawingml/2006/wordprocessingDrawing">
            <extent cx="6096000" cy="2438400"/>
            <docPr id="1" name="carich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carich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Destinazione d’uso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sovraccarichi (obbligatorio EN / E1 / G)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Peso lineare partizioni equivalenti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2,1 kN/m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ripartizione e applicabilità delle partizioni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Riduzione sovraccarichi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Nessuna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tributaria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Soletta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Spessore strato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Peso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kN/m³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Strato strutturale (G1)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Massetto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Spessore strato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0,06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Peso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kN/m³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Strato strutturale (G1)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Spessore strato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Peso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 kN/m³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Strato strutturale (G1)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Soletta · Permanente strutturale G1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6,25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 = spessore × peso specifico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Massetto · Permanente non strutturale G2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 = spessore × peso specifico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Pavimento · Permanente non strutturale G2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 = spessore × peso specifico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partizioni · Equivalente permanente G2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per fascia di peso lineare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Riduzione del solo sovraccarico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· NTC 2018 §§3.1.3–3.1.4, Tab. 3.1.II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Distribuito globale</w:t>
      </w:r>
    </w:p>
    <w:p>
      <w:pPr>
        <w:spacing w:after="100"/>
      </w:pPr>
      <w:r>
        <w:rPr>
          <w:rFonts w:ascii="Arial" w:hAnsi="Arial"/>
          <w:sz w:val="18"/>
        </w:rPr>
        <w:t>G1 e G2 distinti; Q non simultaneo al carico concentrato locale. Larghezza tributaria uniforme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6,25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contributi pertinenti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31,25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2,84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contributi pertinenti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14,2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contributi pertinenti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Qrid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× Qk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Qrid·b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NTC 2018 §§3.1.3–3.1.4, Tab. 3.1.II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Concentrato locale</w:t>
      </w:r>
    </w:p>
    <w:p>
      <w:pPr>
        <w:spacing w:after="100"/>
      </w:pPr>
      <w:r>
        <w:rPr>
          <w:rFonts w:ascii="Arial" w:hAnsi="Arial"/>
          <w:sz w:val="18"/>
        </w:rPr>
        <w:t>Alternativo al sovraccarico distribuito. Permanenti da aggiungere nella verifica dell’elemento; nessuna riduzione del carico concentrato.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 · Carico per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Assegnato / tabellato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Numero impronte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e G: due ruote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Lato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quadrata · NTC 2018 §§3.1.3–3.1.4, Tab. 3.1.II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 · Pressione di contatto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800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 / a² · NTC 2018 §§3.1.3–3.1.4, Tab. 3.1.II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Orizzontale locale</w:t>
      </w:r>
    </w:p>
    <w:p>
      <w:pPr>
        <w:spacing w:after="100"/>
      </w:pPr>
      <w:r>
        <w:rPr>
          <w:rFonts w:ascii="Arial" w:hAnsi="Arial"/>
          <w:sz w:val="18"/>
        </w:rPr>
        <w:t>Parapetti/partizioni; per F/G solo zone pedonali. Non comprende urti veicolari né spinte dei materiali stoccati.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Hk · Carico orizzontale lineare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Assegnato / tabellato · NTC 2018 §§3.1.3–3.1.4, Tab. 3.1.II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Riduzioni per area e numero di piani alternative, mai moltiplicate. La riduzione per piani si riferisce a colonne/pareti con piani della medesima categoria; non combinarla automaticamente con ulteriori riduzioni ψ.</w:t>
      </w:r>
    </w:p>
    <w:p>
      <w:pPr>
        <w:spacing w:after="100"/>
      </w:pPr>
      <w:r>
        <w:rPr>
          <w:rFonts w:ascii="Arial" w:hAnsi="Arial"/>
          <w:sz w:val="18"/>
        </w:rPr>
        <w:t>Partizioni oltre 5 kN/m: modellare il posizionamento effettivo. Carichi dinamici atipici, macchinari e categorie industriali/speciali richiedono dati specifici.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