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Neve NTC · due falde 30° / 45°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</w:t>
      </w:r>
    </w:p>
    <w:p>
      <w:pPr>
        <w:spacing w:after="100"/>
      </w:pPr>
      <w:r>
        <w:rPr>
          <w:rFonts w:ascii="Arial" w:hAnsi="Arial"/>
          <w:sz w:val="18"/>
        </w:rPr>
        <w:t>Neve ordinaria: carichi verticali per area in proiezione orizzontale.</w:t>
      </w:r>
    </w:p>
    <w:p>
      <w:r>
        <w:drawing>
          <inline xmlns="http://schemas.openxmlformats.org/drawingml/2006/wordprocessingDrawing">
            <extent cx="6096000" cy="4064000"/>
            <docPr id="1" name="neve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neve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4064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Zona neve NTC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II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481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il carico al suolo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Esposizione della copertura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termico Ct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Motivazione dello studio per Ct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Geometria della copertura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Due falde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Inclinazione falda sinistra/superiore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 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Inclinazione falda destra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45 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Fermaneve / scivolamento impedito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copertura b / inferiore b2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m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sk · Carico caratteristico al suolo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zonazione e quota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Ce · Coefficiente di esposizione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topografica · NTC tab. 3.4.I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Ct · Coefficiente termico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 · NTC 2018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Neve non accumulata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sinistra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forma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 · sinistra · Carico verticale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Ce · Ct · sk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destra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forma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 · destra · Carico verticale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0,68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Ce · Ct · sk · NTC 2018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Accumulo verso destra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sinistra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forma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 · sinistra · Carico verticale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0,68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Ce · Ct · sk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destra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forma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 · destra · Carico verticale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0,68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Ce · Ct · sk · NTC 2018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Accumulo verso sinistra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sinistra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forma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 · sinistra · Carico verticale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Ce · Ct · sk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destra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forma · NTC 2018 §3.4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 · destra · Carico verticale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Ce · Ct · sk · NTC 2018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Gli accumuli locali presso ostacoli/parapetti e lo scivolamento su elementi di protezione richiedono casi aggiuntivi; non sommare i casi alternativi.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