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100"/>
        <w:keepNext/>
      </w:pPr>
      <w:r>
        <w:rPr>
          <w:rFonts w:ascii="Arial" w:hAnsi="Arial"/>
          <w:sz w:val="25"/>
          <w:b/>
        </w:rPr>
        <w:t>Temperatura EN · parete omogenea</w:t>
      </w:r>
    </w:p>
    <w:p>
      <w:pPr>
        <w:spacing w:after="100"/>
      </w:pPr>
      <w:r>
        <w:rPr>
          <w:rFonts w:ascii="Arial" w:hAnsi="Arial"/>
          <w:sz w:val="18"/>
        </w:rPr>
        <w:t>ANTHEA · Azioni</w:t>
      </w:r>
    </w:p>
    <w:p>
      <w:pPr>
        <w:spacing w:after="100"/>
      </w:pPr>
      <w:r>
        <w:rPr>
          <w:rFonts w:ascii="Arial" w:hAnsi="Arial"/>
          <w:sz w:val="18"/>
        </w:rPr>
        <w:t>EN 1991-1-5:2003 + AC:2009</w:t>
      </w:r>
    </w:p>
    <w:p>
      <w:pPr>
        <w:spacing w:after="100"/>
      </w:pPr>
      <w:r>
        <w:rPr>
          <w:rFonts w:ascii="Arial" w:hAnsi="Arial"/>
          <w:sz w:val="18"/>
        </w:rPr>
        <w:t>Azione termica su elemento di edificio; dilatazione e curvatura libere. Reazioni vincolari da analisi strutturale.</w:t>
      </w:r>
    </w:p>
    <w:p>
      <w:r>
        <w:drawing>
          <inline xmlns="http://schemas.openxmlformats.org/drawingml/2006/wordprocessingDrawing">
            <extent cx="6096000" cy="2438400"/>
            <docPr id="1" name="temperatura-edifici" descr="Schema qualitativo e convenzioni; dimensioni non in scala."/>
            <graphic xmlns="http://schemas.openxmlformats.org/drawingml/2006/main">
              <graphicData uri="http://schemas.openxmlformats.org/drawingml/2006/picture">
                <pic xmlns="http://schemas.openxmlformats.org/drawingml/2006/picture">
                  <nvPicPr>
                    <cNvPr id="1" name="temperatura-edifici"/>
                    <cNvPicPr/>
                  </nvPicPr>
                  <blipFill>
                    <blip xmlns:p11="http://schemas.openxmlformats.org/officeDocument/2006/relationships" xmlns="http://schemas.openxmlformats.org/drawingml/2006/main" p11:embed="climate1"/>
                    <stretch xmlns="http://schemas.openxmlformats.org/drawingml/2006/main">
                      <fillRect/>
                    </stretch>
                  </blipFill>
                  <spPr>
                    <xfrm xmlns="http://schemas.openxmlformats.org/drawingml/2006/main">
                      <off x="0" y="0"/>
                      <ext cx="6096000" cy="2438400"/>
                    </xfrm>
                    <prstGeom xmlns="http://schemas.openxmlformats.org/drawingml/2006/main" prst="rect">
                      <avLst/>
                    </prstGeom>
                  </spPr>
                </pic>
              </graphicData>
            </graphic>
          </inline>
        </w:drawing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Dati di ingresso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4800"/>
        <w:gridCol w:w="4800"/>
      </w:tblGrid>
      <w:tr>
        <w:trPr>
          <w:cantSplit/>
          <w:tblHeader/>
        </w:trPr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Parametro</w:t>
            </w:r>
          </w:p>
        </w:tc>
        <w:tc>
          <w:tcPr>
            <w:tcW w:w="48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Normativa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Eurocodice 1 · prima generazione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Paese, appendice nazionale e fonte dei parametri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Esempio didattico: valori raccomandati EN di prima generazione, clima assegnato; nessuna appendice nazionale selezionata.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Quota sul mare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Assegna temperature dell’aria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Sì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Temperatura minima all’ombra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-10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Sito · Temperatura massima all’ombra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Metodo termico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Trasmissione in strato omogeneo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Materiale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Cemento armato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Temperatura iniziale T0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15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Fonte del profilo e dei parametri termici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Esempio monostrato: Rsi=0,16; Rse=0,04 m²K/W; h=0,30 m; λ=1 W/(m K); incremento solare assegnato 30 °C.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Estate · aria interna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Inverno · aria interna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20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Incremento estivo da radiazione solare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 °C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Conduttività λ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 W/(m K)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Resistenza superficiale interna Rsi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0,16 m²K/W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Resistenza superficiale esterna Rse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0,04 m²K/W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 coefficiente di dilatazione α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No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Lunghezza efficace dal punto fisso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 m</w:t>
            </w:r>
          </w:p>
        </w:tc>
      </w:tr>
      <w:tr>
        <w:trPr>
          <w:cantSplit/>
        </w:trPr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Spessore strato omogeneo</w:t>
            </w:r>
          </w:p>
        </w:tc>
        <w:tc>
          <w:tcPr>
            <w:tcW w:w="48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0,3 m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Parametri e formule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Tmin · Temperatura minima aria all’ombra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· Dati climatici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Tmax · Temperatura massima aria all’ombra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40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assegnata · Dati climatici assegnati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Rtot · Resistenza termica totale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0,5 m²K/W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Rsi + h/λ + Rse · EN appendice D (D.2)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Coefficiente di dilatazione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1E-05 1/K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materiale del progetto · NTC tab. 3.5.III / EN appendice C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Estate · strato omogeneo</w:t>
      </w:r>
    </w:p>
    <w:p>
      <w:pPr>
        <w:spacing w:after="100"/>
      </w:pPr>
      <w:r>
        <w:rPr>
          <w:rFonts w:ascii="Arial" w:hAnsi="Arial"/>
          <w:sz w:val="18"/>
        </w:rPr>
        <w:t>Profilo lineare in uno strato omogeneo: media aritmetica delle superfici; differenza esterno−interno.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Tse · Superficie esterna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66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profilo assegnato/trasmissione stazionaria · EN §5.3, appendice 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Tsi · Superficie interna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profilo assegnato/trasmissione stazionaria · EN §5.3, appendice 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NTC §3.5.4 / EN §5.2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30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NTC §3.5.4 / EN §5.2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0,00036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10,8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0,001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Inverno · strato omogeneo</w:t>
      </w:r>
    </w:p>
    <w:p>
      <w:pPr>
        <w:spacing w:after="100"/>
      </w:pPr>
      <w:r>
        <w:rPr>
          <w:rFonts w:ascii="Arial" w:hAnsi="Arial"/>
          <w:sz w:val="18"/>
        </w:rPr>
        <w:t>Profilo lineare in uno strato omogeneo: media aritmetica delle superfici; differenza esterno−interno.</w:t>
      </w:r>
    </w:p>
    <w:tbl>
      <w:tblPr>
        <w:tblW w:w="9600" w:type="dxa"/>
        <w:tblBorders>
          <w:top w:val="single" w:sz="4" w:color="BCC7D3"/>
          <w:left w:val="single" w:sz="4" w:color="BCC7D3"/>
          <w:bottom w:val="single" w:sz="4" w:color="BCC7D3"/>
          <w:right w:val="single" w:sz="4" w:color="BCC7D3"/>
          <w:insideH w:val="single" w:sz="4" w:color="BCC7D3"/>
          <w:insideV w:val="single" w:sz="4" w:color="BCC7D3"/>
        </w:tblBorders>
      </w:tblPr>
      <w:tblGrid>
        <w:gridCol w:w="3200"/>
        <w:gridCol w:w="3200"/>
        <w:gridCol w:w="3200"/>
      </w:tblGrid>
      <w:tr>
        <w:trPr>
          <w:cantSplit/>
          <w:tblHeader/>
        </w:trPr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Grandezza / descrizione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Valore / unità</w:t>
            </w:r>
          </w:p>
        </w:tc>
        <w:tc>
          <w:tcPr>
            <w:tcW w:w="3200" w:type="dxa"/>
            <w:shd w:fill="E8EEF4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Formula / riferimento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Tse · Superficie esterna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-7,6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profilo assegnato/trasmissione stazionaria · EN §5.3, appendice 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Tsi · Superficie interna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10,4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profilo assegnato/trasmissione stazionaria · EN §5.3, appendice D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ΔTu · Componente uniforme (espansione positiva)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-13,6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Tmedio − T0 · NTC §3.5.4 / EN §5.2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ΔTM · Differenza lineare (esterno/sopra meno interno/sotto)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-18 °C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Tsup − Tinf · NTC §3.5.4 / EN §5.2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εT · Deformazione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-0,000136 –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ΔTu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ΔL · Variazione libera di lunghezza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-4,08 mm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1000 · α · ΔTu · L[m] · Cinematica termica</w:t>
            </w:r>
          </w:p>
        </w:tc>
      </w:tr>
      <w:tr>
        <w:trPr>
          <w:cantSplit/>
        </w:trPr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κT · Curvatura termica libera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-0,0006 1/m</w:t>
            </w:r>
          </w:p>
        </w:tc>
        <w:tc>
          <w:tcPr>
            <w:tcW w:w="3200" w:type="dxa"/>
          </w:tcPr>
          <w:p>
            <w:pPr>
              <w:spacing w:after="100"/>
            </w:pPr>
            <w:r>
              <w:rPr>
                <w:rFonts w:ascii="Arial" w:hAnsi="Arial"/>
                <w:sz w:val="18"/>
              </w:rPr>
              <w:t>α · ΔTM / h · Cinematica termica</w:t>
            </w:r>
          </w:p>
        </w:tc>
      </w:tr>
    </w:tbl>
    <w:p>
      <w:pPr>
        <w:spacing w:after="100"/>
      </w:pPr>
      <w:r>
        <w:rPr>
          <w:rFonts w:ascii="Arial" w:hAnsi="Arial"/>
          <w:sz w:val="18"/>
        </w:rPr>
        <w:t/>
      </w:r>
    </w:p>
    <w:p>
      <w:pPr>
        <w:spacing w:after="100"/>
        <w:keepNext/>
      </w:pPr>
      <w:r>
        <w:rPr>
          <w:rFonts w:ascii="Arial" w:hAnsi="Arial"/>
          <w:sz w:val="25"/>
          <w:b/>
        </w:rPr>
        <w:t>Ipotesi e campo di applicazione</w:t>
      </w:r>
    </w:p>
    <w:p>
      <w:pPr>
        <w:spacing w:after="100"/>
      </w:pPr>
      <w:r>
        <w:rPr>
          <w:rFonts w:ascii="Arial" w:hAnsi="Arial"/>
          <w:sz w:val="18"/>
        </w:rPr>
        <w:t>Valori caratteristici; coefficienti parziali e combinazioni con altre azioni da applicare nel modello strutturale.</w:t>
      </w:r>
    </w:p>
    <w:p>
      <w:pPr>
        <w:spacing w:after="100"/>
      </w:pPr>
      <w:r>
        <w:rPr>
          <w:rFonts w:ascii="Arial" w:hAnsi="Arial"/>
          <w:sz w:val="18"/>
        </w:rPr>
        <w:t>Eurocodice di prima generazione, valori raccomandati salvo parametri assegnati. Fonte dei parametri nazionali/progettuali: Esempio didattico: valori raccomandati EN di prima generazione, clima assegnato; nessuna appendice nazionale selezionata.</w:t>
      </w:r>
    </w:p>
    <w:p>
      <w:pPr>
        <w:spacing w:after="100"/>
      </w:pPr>
      <w:r>
        <w:rPr>
          <w:rFonts w:ascii="Arial" w:hAnsi="Arial"/>
          <w:sz w:val="18"/>
        </w:rPr>
        <w:t>Fonte profilo: Esempio monostrato: Rsi=0,16; Rse=0,04 m²K/W; h=0,30 m; λ=1 W/(m K); incremento solare assegnato 30 °C.. Modello stazionario monostrato senza ponti termici: pareti multistrato, transitori e profili non lineari richiedono analisi specifica.</w:t>
      </w:r>
    </w:p>
    <w:sectPr>
      <w:pgSz w:w="11906" w:h="16838"/>
      <w:pgMar w:top="1134" w:bottom="1134" w:left="1134" w:right="1134"/>
    </w:sectPr>
  </w:body>
</w:document>
</file>

<file path=word/_rels/document.xml.rels><Relationships xmlns="http://schemas.openxmlformats.org/package/2006/relationships">
  <Relationship Id="climate1" Type="http://schemas.openxmlformats.org/officeDocument/2006/relationships/image" Target="media/climate1.png" />
</Relationships>
</file>