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100"/>
        <w:keepNext/>
      </w:pPr>
      <w:r>
        <w:rPr>
          <w:rFonts w:ascii="Arial" w:hAnsi="Arial"/>
          <w:sz w:val="25"/>
          <w:b/>
        </w:rPr>
        <w:t>Temperatura NTC · elemento in c.a. esposto</w:t>
      </w:r>
    </w:p>
    <w:p>
      <w:pPr>
        <w:spacing w:after="100"/>
      </w:pPr>
      <w:r>
        <w:rPr>
          <w:rFonts w:ascii="Arial" w:hAnsi="Arial"/>
          <w:sz w:val="18"/>
        </w:rPr>
        <w:t>ANTHEA · Azioni</w:t>
      </w:r>
    </w:p>
    <w:p>
      <w:pPr>
        <w:spacing w:after="100"/>
      </w:pPr>
      <w:r>
        <w:rPr>
          <w:rFonts w:ascii="Arial" w:hAnsi="Arial"/>
          <w:sz w:val="18"/>
        </w:rPr>
        <w:t>Italia · NTC 2018 (DM 17/01/2018) · Circolare 21/01/2019 n. 7</w:t>
      </w:r>
    </w:p>
    <w:p>
      <w:pPr>
        <w:spacing w:after="100"/>
      </w:pPr>
      <w:r>
        <w:rPr>
          <w:rFonts w:ascii="Arial" w:hAnsi="Arial"/>
          <w:sz w:val="18"/>
        </w:rPr>
        <w:t>Azione termica su elemento di edificio; dilatazione e curvatura libere. Reazioni vincolari da analisi strutturale.</w:t>
      </w:r>
    </w:p>
    <w:p>
      <w:r>
        <w:drawing>
          <inline xmlns="http://schemas.openxmlformats.org/drawingml/2006/wordprocessingDrawing">
            <extent cx="6096000" cy="2438400"/>
            <docPr id="1" name="temperatura-edifici" descr="Schema qualitativo e convenzioni; dimensioni non in scala."/>
            <graphic xmlns="http://schemas.openxmlformats.org/drawingml/2006/main">
              <graphicData uri="http://schemas.openxmlformats.org/drawingml/2006/picture">
                <pic xmlns="http://schemas.openxmlformats.org/drawingml/2006/picture">
                  <nvPicPr>
                    <cNvPr id="1" name="temperatura-edifici"/>
                    <cNvPicPr/>
                  </nvPicPr>
                  <blipFill>
                    <blip xmlns:p11="http://schemas.openxmlformats.org/officeDocument/2006/relationships" xmlns="http://schemas.openxmlformats.org/drawingml/2006/main" p11:embed="climate1"/>
                    <stretch xmlns="http://schemas.openxmlformats.org/drawingml/2006/main">
                      <fillRect/>
                    </stretch>
                  </blipFill>
                  <spPr>
                    <xfrm xmlns="http://schemas.openxmlformats.org/drawingml/2006/main">
                      <off x="0" y="0"/>
                      <ext cx="6096000" cy="2438400"/>
                    </xfrm>
                    <prstGeom xmlns="http://schemas.openxmlformats.org/drawingml/2006/main" prst="rect">
                      <avLst/>
                    </prstGeom>
                  </spPr>
                </pic>
              </graphicData>
            </graphic>
          </inline>
        </w:drawing>
      </w:r>
    </w:p>
    <w:p>
      <w:pPr>
        <w:spacing w:after="100"/>
        <w:keepNext/>
      </w:pPr>
      <w:r>
        <w:rPr>
          <w:rFonts w:ascii="Arial" w:hAnsi="Arial"/>
          <w:sz w:val="25"/>
          <w:b/>
        </w:rPr>
        <w:t>Dati di ingresso</w:t>
      </w:r>
    </w:p>
    <w:tbl>
      <w:tblPr>
        <w:tblW w:w="9600" w:type="dxa"/>
        <w:tblBorders>
          <w:top w:val="single" w:sz="4" w:color="BCC7D3"/>
          <w:left w:val="single" w:sz="4" w:color="BCC7D3"/>
          <w:bottom w:val="single" w:sz="4" w:color="BCC7D3"/>
          <w:right w:val="single" w:sz="4" w:color="BCC7D3"/>
          <w:insideH w:val="single" w:sz="4" w:color="BCC7D3"/>
          <w:insideV w:val="single" w:sz="4" w:color="BCC7D3"/>
        </w:tblBorders>
      </w:tblPr>
      <w:tblGrid>
        <w:gridCol w:w="4800"/>
        <w:gridCol w:w="4800"/>
      </w:tblGrid>
      <w:tr>
        <w:trPr>
          <w:cantSplit/>
          <w:tblHeader/>
        </w:trPr>
        <w:tc>
          <w:tcPr>
            <w:tcW w:w="4800" w:type="dxa"/>
            <w:shd w:fill="E8EEF4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Parametro</w:t>
            </w:r>
          </w:p>
        </w:tc>
        <w:tc>
          <w:tcPr>
            <w:tcW w:w="4800" w:type="dxa"/>
            <w:shd w:fill="E8EEF4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Valore / unità</w:t>
            </w:r>
          </w:p>
        </w:tc>
      </w:tr>
      <w:tr>
        <w:trPr>
          <w:cantSplit/>
        </w:trPr>
        <w:tc>
          <w:tcPr>
            <w:tcW w:w="48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Sito · Normativa</w:t>
            </w:r>
          </w:p>
        </w:tc>
        <w:tc>
          <w:tcPr>
            <w:tcW w:w="48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Italia · NTC 2018</w:t>
            </w:r>
          </w:p>
        </w:tc>
      </w:tr>
      <w:tr>
        <w:trPr>
          <w:cantSplit/>
        </w:trPr>
        <w:tc>
          <w:tcPr>
            <w:tcW w:w="48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Sito · Zona termica NTC (1…4)</w:t>
            </w:r>
          </w:p>
        </w:tc>
        <w:tc>
          <w:tcPr>
            <w:tcW w:w="48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2</w:t>
            </w:r>
          </w:p>
        </w:tc>
      </w:tr>
      <w:tr>
        <w:trPr>
          <w:cantSplit/>
        </w:trPr>
        <w:tc>
          <w:tcPr>
            <w:tcW w:w="48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Sito · Quota sul mare</w:t>
            </w:r>
          </w:p>
        </w:tc>
        <w:tc>
          <w:tcPr>
            <w:tcW w:w="48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200 m</w:t>
            </w:r>
          </w:p>
        </w:tc>
      </w:tr>
      <w:tr>
        <w:trPr>
          <w:cantSplit/>
        </w:trPr>
        <w:tc>
          <w:tcPr>
            <w:tcW w:w="48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Sito · Assegna temperature dell’aria</w:t>
            </w:r>
          </w:p>
        </w:tc>
        <w:tc>
          <w:tcPr>
            <w:tcW w:w="48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No</w:t>
            </w:r>
          </w:p>
        </w:tc>
      </w:tr>
      <w:tr>
        <w:trPr>
          <w:cantSplit/>
        </w:trPr>
        <w:tc>
          <w:tcPr>
            <w:tcW w:w="48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Metodo termico</w:t>
            </w:r>
          </w:p>
        </w:tc>
        <w:tc>
          <w:tcPr>
            <w:tcW w:w="48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Semplificato NTC §3.5.5</w:t>
            </w:r>
          </w:p>
        </w:tc>
      </w:tr>
      <w:tr>
        <w:trPr>
          <w:cantSplit/>
        </w:trPr>
        <w:tc>
          <w:tcPr>
            <w:tcW w:w="48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Materiale</w:t>
            </w:r>
          </w:p>
        </w:tc>
        <w:tc>
          <w:tcPr>
            <w:tcW w:w="48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Cemento armato</w:t>
            </w:r>
          </w:p>
        </w:tc>
      </w:tr>
      <w:tr>
        <w:trPr>
          <w:cantSplit/>
        </w:trPr>
        <w:tc>
          <w:tcPr>
            <w:tcW w:w="48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Struttura esposta</w:t>
            </w:r>
          </w:p>
        </w:tc>
        <w:tc>
          <w:tcPr>
            <w:tcW w:w="48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Sì</w:t>
            </w:r>
          </w:p>
        </w:tc>
      </w:tr>
      <w:tr>
        <w:trPr>
          <w:cantSplit/>
        </w:trPr>
        <w:tc>
          <w:tcPr>
            <w:tcW w:w="48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Azione termica non fondamentale: applicabile §3.5.5</w:t>
            </w:r>
          </w:p>
        </w:tc>
        <w:tc>
          <w:tcPr>
            <w:tcW w:w="48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Sì</w:t>
            </w:r>
          </w:p>
        </w:tc>
      </w:tr>
      <w:tr>
        <w:trPr>
          <w:cantSplit/>
        </w:trPr>
        <w:tc>
          <w:tcPr>
            <w:tcW w:w="48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Temperatura iniziale T0</w:t>
            </w:r>
          </w:p>
        </w:tc>
        <w:tc>
          <w:tcPr>
            <w:tcW w:w="48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15 °C</w:t>
            </w:r>
          </w:p>
        </w:tc>
      </w:tr>
      <w:tr>
        <w:trPr>
          <w:cantSplit/>
        </w:trPr>
        <w:tc>
          <w:tcPr>
            <w:tcW w:w="48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Assegna coefficiente di dilatazione α</w:t>
            </w:r>
          </w:p>
        </w:tc>
        <w:tc>
          <w:tcPr>
            <w:tcW w:w="48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No</w:t>
            </w:r>
          </w:p>
        </w:tc>
      </w:tr>
      <w:tr>
        <w:trPr>
          <w:cantSplit/>
        </w:trPr>
        <w:tc>
          <w:tcPr>
            <w:tcW w:w="48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Lunghezza efficace dal punto fisso</w:t>
            </w:r>
          </w:p>
        </w:tc>
        <w:tc>
          <w:tcPr>
            <w:tcW w:w="48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30 m</w:t>
            </w:r>
          </w:p>
        </w:tc>
      </w:tr>
      <w:tr>
        <w:trPr>
          <w:cantSplit/>
        </w:trPr>
        <w:tc>
          <w:tcPr>
            <w:tcW w:w="48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Spessore strato omogeneo</w:t>
            </w:r>
          </w:p>
        </w:tc>
        <w:tc>
          <w:tcPr>
            <w:tcW w:w="48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0,3 m</w:t>
            </w:r>
          </w:p>
        </w:tc>
      </w:tr>
    </w:tbl>
    <w:p>
      <w:pPr>
        <w:spacing w:after="100"/>
      </w:pPr>
      <w:r>
        <w:rPr>
          <w:rFonts w:ascii="Arial" w:hAnsi="Arial"/>
          <w:sz w:val="18"/>
        </w:rPr>
        <w:t/>
      </w:r>
    </w:p>
    <w:p>
      <w:pPr>
        <w:spacing w:after="100"/>
        <w:keepNext/>
      </w:pPr>
      <w:r>
        <w:rPr>
          <w:rFonts w:ascii="Arial" w:hAnsi="Arial"/>
          <w:sz w:val="25"/>
          <w:b/>
        </w:rPr>
        <w:t>Parametri e formule</w:t>
      </w:r>
    </w:p>
    <w:tbl>
      <w:tblPr>
        <w:tblW w:w="9600" w:type="dxa"/>
        <w:tblBorders>
          <w:top w:val="single" w:sz="4" w:color="BCC7D3"/>
          <w:left w:val="single" w:sz="4" w:color="BCC7D3"/>
          <w:bottom w:val="single" w:sz="4" w:color="BCC7D3"/>
          <w:right w:val="single" w:sz="4" w:color="BCC7D3"/>
          <w:insideH w:val="single" w:sz="4" w:color="BCC7D3"/>
          <w:insideV w:val="single" w:sz="4" w:color="BCC7D3"/>
        </w:tblBorders>
      </w:tblPr>
      <w:tblGrid>
        <w:gridCol w:w="3200"/>
        <w:gridCol w:w="3200"/>
        <w:gridCol w:w="3200"/>
      </w:tblGrid>
      <w:tr>
        <w:trPr>
          <w:cantSplit/>
          <w:tblHeader/>
        </w:trPr>
        <w:tc>
          <w:tcPr>
            <w:tcW w:w="3200" w:type="dxa"/>
            <w:shd w:fill="E8EEF4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Grandezza / descrizione</w:t>
            </w:r>
          </w:p>
        </w:tc>
        <w:tc>
          <w:tcPr>
            <w:tcW w:w="3200" w:type="dxa"/>
            <w:shd w:fill="E8EEF4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Valore / unità</w:t>
            </w:r>
          </w:p>
        </w:tc>
        <w:tc>
          <w:tcPr>
            <w:tcW w:w="3200" w:type="dxa"/>
            <w:shd w:fill="E8EEF4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Formula / riferimento</w:t>
            </w:r>
          </w:p>
        </w:tc>
      </w:tr>
      <w:tr>
        <w:trPr>
          <w:cantSplit/>
        </w:trPr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Tmin · Temperatura minima aria all’ombra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-9,2 °C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funzione zona e quota · NTC §3.5.2 · periodo 50 anni</w:t>
            </w:r>
          </w:p>
        </w:tc>
      </w:tr>
      <w:tr>
        <w:trPr>
          <w:cantSplit/>
        </w:trPr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Tmax · Temperatura massima aria all’ombra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41,6 °C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funzione zona e quota · NTC §3.5.2 · periodo 50 anni</w:t>
            </w:r>
          </w:p>
        </w:tc>
      </w:tr>
      <w:tr>
        <w:trPr>
          <w:cantSplit/>
        </w:trPr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α · Coefficiente di dilatazione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1E-05 1/K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materiale del progetto · NTC tab. 3.5.III / EN appendice C</w:t>
            </w:r>
          </w:p>
        </w:tc>
      </w:tr>
    </w:tbl>
    <w:p>
      <w:pPr>
        <w:spacing w:after="100"/>
      </w:pPr>
      <w:r>
        <w:rPr>
          <w:rFonts w:ascii="Arial" w:hAnsi="Arial"/>
          <w:sz w:val="18"/>
        </w:rPr>
        <w:t/>
      </w:r>
    </w:p>
    <w:p>
      <w:pPr>
        <w:spacing w:after="100"/>
        <w:keepNext/>
      </w:pPr>
      <w:r>
        <w:rPr>
          <w:rFonts w:ascii="Arial" w:hAnsi="Arial"/>
          <w:sz w:val="25"/>
          <w:b/>
        </w:rPr>
        <w:t>Raffreddamento</w:t>
      </w:r>
    </w:p>
    <w:p>
      <w:pPr>
        <w:spacing w:after="100"/>
      </w:pPr>
      <w:r>
        <w:rPr>
          <w:rFonts w:ascii="Arial" w:hAnsi="Arial"/>
          <w:sz w:val="18"/>
        </w:rPr>
        <w:t/>
      </w:r>
    </w:p>
    <w:tbl>
      <w:tblPr>
        <w:tblW w:w="9600" w:type="dxa"/>
        <w:tblBorders>
          <w:top w:val="single" w:sz="4" w:color="BCC7D3"/>
          <w:left w:val="single" w:sz="4" w:color="BCC7D3"/>
          <w:bottom w:val="single" w:sz="4" w:color="BCC7D3"/>
          <w:right w:val="single" w:sz="4" w:color="BCC7D3"/>
          <w:insideH w:val="single" w:sz="4" w:color="BCC7D3"/>
          <w:insideV w:val="single" w:sz="4" w:color="BCC7D3"/>
        </w:tblBorders>
      </w:tblPr>
      <w:tblGrid>
        <w:gridCol w:w="3200"/>
        <w:gridCol w:w="3200"/>
        <w:gridCol w:w="3200"/>
      </w:tblGrid>
      <w:tr>
        <w:trPr>
          <w:cantSplit/>
          <w:tblHeader/>
        </w:trPr>
        <w:tc>
          <w:tcPr>
            <w:tcW w:w="3200" w:type="dxa"/>
            <w:shd w:fill="E8EEF4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Grandezza / descrizione</w:t>
            </w:r>
          </w:p>
        </w:tc>
        <w:tc>
          <w:tcPr>
            <w:tcW w:w="3200" w:type="dxa"/>
            <w:shd w:fill="E8EEF4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Valore / unità</w:t>
            </w:r>
          </w:p>
        </w:tc>
        <w:tc>
          <w:tcPr>
            <w:tcW w:w="3200" w:type="dxa"/>
            <w:shd w:fill="E8EEF4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Formula / riferimento</w:t>
            </w:r>
          </w:p>
        </w:tc>
      </w:tr>
      <w:tr>
        <w:trPr>
          <w:cantSplit/>
        </w:trPr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ΔTu · Componente uniforme (espansione positiva)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-15 °C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Tmedio − T0 · NTC tab. 3.5.II</w:t>
            </w:r>
          </w:p>
        </w:tc>
      </w:tr>
      <w:tr>
        <w:trPr>
          <w:cantSplit/>
        </w:trPr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ΔTM · Differenza lineare (esterno/sopra meno interno/sotto)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0 °C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Tsup − Tinf · NTC tab. 3.5.II</w:t>
            </w:r>
          </w:p>
        </w:tc>
      </w:tr>
      <w:tr>
        <w:trPr>
          <w:cantSplit/>
        </w:trPr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εT · Deformazione termica libera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-0,00015 –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α · ΔTu · Cinematica termica</w:t>
            </w:r>
          </w:p>
        </w:tc>
      </w:tr>
      <w:tr>
        <w:trPr>
          <w:cantSplit/>
        </w:trPr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ΔL · Variazione libera di lunghezza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-4,5 mm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1000 · α · ΔTu · L[m] · Cinematica termica</w:t>
            </w:r>
          </w:p>
        </w:tc>
      </w:tr>
      <w:tr>
        <w:trPr>
          <w:cantSplit/>
        </w:trPr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κT · Curvatura termica libera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0 1/m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α · ΔTM / h · Cinematica termica</w:t>
            </w:r>
          </w:p>
        </w:tc>
      </w:tr>
    </w:tbl>
    <w:p>
      <w:pPr>
        <w:spacing w:after="100"/>
      </w:pPr>
      <w:r>
        <w:rPr>
          <w:rFonts w:ascii="Arial" w:hAnsi="Arial"/>
          <w:sz w:val="18"/>
        </w:rPr>
        <w:t/>
      </w:r>
    </w:p>
    <w:p>
      <w:pPr>
        <w:spacing w:after="100"/>
        <w:keepNext/>
      </w:pPr>
      <w:r>
        <w:rPr>
          <w:rFonts w:ascii="Arial" w:hAnsi="Arial"/>
          <w:sz w:val="25"/>
          <w:b/>
        </w:rPr>
        <w:t>Riscaldamento</w:t>
      </w:r>
    </w:p>
    <w:p>
      <w:pPr>
        <w:spacing w:after="100"/>
      </w:pPr>
      <w:r>
        <w:rPr>
          <w:rFonts w:ascii="Arial" w:hAnsi="Arial"/>
          <w:sz w:val="18"/>
        </w:rPr>
        <w:t/>
      </w:r>
    </w:p>
    <w:tbl>
      <w:tblPr>
        <w:tblW w:w="9600" w:type="dxa"/>
        <w:tblBorders>
          <w:top w:val="single" w:sz="4" w:color="BCC7D3"/>
          <w:left w:val="single" w:sz="4" w:color="BCC7D3"/>
          <w:bottom w:val="single" w:sz="4" w:color="BCC7D3"/>
          <w:right w:val="single" w:sz="4" w:color="BCC7D3"/>
          <w:insideH w:val="single" w:sz="4" w:color="BCC7D3"/>
          <w:insideV w:val="single" w:sz="4" w:color="BCC7D3"/>
        </w:tblBorders>
      </w:tblPr>
      <w:tblGrid>
        <w:gridCol w:w="3200"/>
        <w:gridCol w:w="3200"/>
        <w:gridCol w:w="3200"/>
      </w:tblGrid>
      <w:tr>
        <w:trPr>
          <w:cantSplit/>
          <w:tblHeader/>
        </w:trPr>
        <w:tc>
          <w:tcPr>
            <w:tcW w:w="3200" w:type="dxa"/>
            <w:shd w:fill="E8EEF4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Grandezza / descrizione</w:t>
            </w:r>
          </w:p>
        </w:tc>
        <w:tc>
          <w:tcPr>
            <w:tcW w:w="3200" w:type="dxa"/>
            <w:shd w:fill="E8EEF4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Valore / unità</w:t>
            </w:r>
          </w:p>
        </w:tc>
        <w:tc>
          <w:tcPr>
            <w:tcW w:w="3200" w:type="dxa"/>
            <w:shd w:fill="E8EEF4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Formula / riferimento</w:t>
            </w:r>
          </w:p>
        </w:tc>
      </w:tr>
      <w:tr>
        <w:trPr>
          <w:cantSplit/>
        </w:trPr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ΔTu · Componente uniforme (espansione positiva)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15 °C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Tmedio − T0 · NTC tab. 3.5.II</w:t>
            </w:r>
          </w:p>
        </w:tc>
      </w:tr>
      <w:tr>
        <w:trPr>
          <w:cantSplit/>
        </w:trPr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ΔTM · Differenza lineare (esterno/sopra meno interno/sotto)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0 °C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Tsup − Tinf · NTC tab. 3.5.II</w:t>
            </w:r>
          </w:p>
        </w:tc>
      </w:tr>
      <w:tr>
        <w:trPr>
          <w:cantSplit/>
        </w:trPr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εT · Deformazione termica libera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0,00015 –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α · ΔTu · Cinematica termica</w:t>
            </w:r>
          </w:p>
        </w:tc>
      </w:tr>
      <w:tr>
        <w:trPr>
          <w:cantSplit/>
        </w:trPr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ΔL · Variazione libera di lunghezza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4,5 mm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1000 · α · ΔTu · L[m] · Cinematica termica</w:t>
            </w:r>
          </w:p>
        </w:tc>
      </w:tr>
      <w:tr>
        <w:trPr>
          <w:cantSplit/>
        </w:trPr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κT · Curvatura termica libera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0 1/m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α · ΔTM / h · Cinematica termica</w:t>
            </w:r>
          </w:p>
        </w:tc>
      </w:tr>
    </w:tbl>
    <w:p>
      <w:pPr>
        <w:spacing w:after="100"/>
      </w:pPr>
      <w:r>
        <w:rPr>
          <w:rFonts w:ascii="Arial" w:hAnsi="Arial"/>
          <w:sz w:val="18"/>
        </w:rPr>
        <w:t/>
      </w:r>
    </w:p>
    <w:p>
      <w:pPr>
        <w:spacing w:after="100"/>
        <w:keepNext/>
      </w:pPr>
      <w:r>
        <w:rPr>
          <w:rFonts w:ascii="Arial" w:hAnsi="Arial"/>
          <w:sz w:val="25"/>
          <w:b/>
        </w:rPr>
        <w:t>Ipotesi e campo di applicazione</w:t>
      </w:r>
    </w:p>
    <w:p>
      <w:pPr>
        <w:spacing w:after="100"/>
      </w:pPr>
      <w:r>
        <w:rPr>
          <w:rFonts w:ascii="Arial" w:hAnsi="Arial"/>
          <w:sz w:val="18"/>
        </w:rPr>
        <w:t>Valori caratteristici; coefficienti parziali e combinazioni con altre azioni da applicare nel modello strutturale.</w:t>
      </w:r>
    </w:p>
    <w:p>
      <w:pPr>
        <w:spacing w:after="100"/>
      </w:pPr>
      <w:r>
        <w:rPr>
          <w:rFonts w:ascii="Arial" w:hAnsi="Arial"/>
          <w:sz w:val="18"/>
        </w:rPr>
        <w:t>Metodo semplificato NTC: intervalli uniformi convenzionali. Non determina gradienti né sostituisce lo studio termico quando l’azione è fondamentale.</w:t>
      </w:r>
    </w:p>
    <w:sectPr>
      <w:pgSz w:w="11906" w:h="16838"/>
      <w:pgMar w:top="1134" w:bottom="1134" w:left="1134" w:right="1134"/>
    </w:sectPr>
  </w:body>
</w:document>
</file>

<file path=word/_rels/document.xml.rels><Relationships xmlns="http://schemas.openxmlformats.org/package/2006/relationships">
  <Relationship Id="climate1" Type="http://schemas.openxmlformats.org/officeDocument/2006/relationships/image" Target="media/climate1.png" />
</Relationships>
</file>