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00"/>
        <w:keepNext/>
      </w:pPr>
      <w:r>
        <w:rPr>
          <w:rFonts w:ascii="Arial" w:hAnsi="Arial"/>
          <w:sz w:val="25"/>
          <w:b/>
        </w:rPr>
        <w:t>Urto EN · impalcato con franco netto 5,5 m</w:t>
      </w:r>
    </w:p>
    <w:p>
      <w:pPr>
        <w:spacing w:after="100"/>
      </w:pPr>
      <w:r>
        <w:rPr>
          <w:rFonts w:ascii="Arial" w:hAnsi="Arial"/>
          <w:sz w:val="18"/>
        </w:rPr>
        <w:t>ANTHEA · Azioni</w:t>
      </w:r>
    </w:p>
    <w:p>
      <w:pPr>
        <w:spacing w:after="100"/>
      </w:pPr>
      <w:r>
        <w:rPr>
          <w:rFonts w:ascii="Arial" w:hAnsi="Arial"/>
          <w:sz w:val="18"/>
        </w:rPr>
        <w:t>EN 1991-1-7:2006</w:t>
      </w:r>
    </w:p>
    <w:p>
      <w:pPr>
        <w:spacing w:after="100"/>
      </w:pPr>
      <w:r>
        <w:rPr>
          <w:rFonts w:ascii="Arial" w:hAnsi="Arial"/>
          <w:sz w:val="18"/>
        </w:rPr>
        <w:t>Urti veicolari: forze statiche equivalenti di progetto, casi alternativi</w:t>
      </w:r>
    </w:p>
    <w:p>
      <w:r>
        <w:drawing>
          <inline xmlns="http://schemas.openxmlformats.org/drawingml/2006/wordprocessingDrawing">
            <extent cx="6096000" cy="2438400"/>
            <docPr id="1" name="urti" descr="Schema qualitativo e convenzioni; dimensioni non in scala.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1" name="urti"/>
                    <cNvPicPr/>
                  </nvPicPr>
                  <blipFill>
                    <blip xmlns:p11="http://schemas.openxmlformats.org/officeDocument/2006/relationships" xmlns="http://schemas.openxmlformats.org/drawingml/2006/main" p11:embed="climate1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6096000" cy="2438400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inline>
        </w:drawing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Dati di ingresso</w:t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4800"/>
        <w:gridCol w:w="4800"/>
      </w:tblGrid>
      <w:tr>
        <w:trPr>
          <w:cantSplit/>
          <w:tblHeader/>
        </w:trPr>
        <w:tc>
          <w:tcPr>
            <w:tcW w:w="48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Parametro</w:t>
            </w:r>
          </w:p>
        </w:tc>
        <w:tc>
          <w:tcPr>
            <w:tcW w:w="48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Normativa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Eurocodice 1 · prima generazione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Paese, appendice nazionale e fonte dei parametri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Esempio didattico: valori raccomandati EN di prima generazione, clima assegnato; nessuna appendice nazionale selezionata.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Elemento soggetto a urto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Impalcato sopra la strada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Categoria di traffico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Autostrada / strada principale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Franco netto futuro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5,5 m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EN · franco h0, forza piena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5 m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EN · franco h1, forza nulla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6 m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Forze equivalenti da studio specifico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No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Parametri e formule</w:t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r · Riduzione per franco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0,5 −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 fino ad h0; (h1−h)/(h1−h0); 0 oltre h1 · EN 1991-1-7:2006 §§4.3–4.4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h · Quota impatto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5,5 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Rispetto al piano di marcia · EN 1991-1-7:2006 §§4.3–4.4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a · Altezza impronta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0,25 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Impronta rettangolare · EN 1991-1-7:2006 §§4.3–4.4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b · Larghezza impronta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0,25 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min(1,50 m, larghezza membratura) per piedritti · EN 1991-1-7:2006 §§4.3–4.4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Prospetto verticale</w:t>
      </w:r>
    </w:p>
    <w:p>
      <w:pPr>
        <w:spacing w:after="100"/>
      </w:pPr>
      <w:r>
        <w:rPr>
          <w:rFonts w:ascii="Arial" w:hAnsi="Arial"/>
          <w:sz w:val="18"/>
        </w:rPr>
        <w:t>Forza orizzontale sulla superficie verticale.</w:t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Fx · Urto frontale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250 kN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r Fd,x · EN 1991-1-7:2006 §§4.3–4.4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Intradosso · 10° verso l’alto</w:t>
      </w:r>
    </w:p>
    <w:p>
      <w:pPr>
        <w:spacing w:after="100"/>
      </w:pPr>
      <w:r>
        <w:rPr>
          <w:rFonts w:ascii="Arial" w:hAnsi="Arial"/>
          <w:sz w:val="18"/>
        </w:rPr>
        <w:t>Caso alternativo sul piano inferiore: componenti della stessa risultante F.</w:t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Fx · Componente orizzontale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246,2019383 kN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 cos(10°) · EN 1991-1-7:2006 §§4.3–4.4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Fz · Componente verso l’alto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43,41204442 kN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 sin(10°) · EN 1991-1-7:2006 §§4.3–4.4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Ipotesi e campo di applicazione</w:t>
      </w:r>
    </w:p>
    <w:p>
      <w:pPr>
        <w:spacing w:after="100"/>
      </w:pPr>
      <w:r>
        <w:rPr>
          <w:rFonts w:ascii="Arial" w:hAnsi="Arial"/>
          <w:sz w:val="18"/>
        </w:rPr>
        <w:t>Forze eccezionali di progetto Ad, già pronte per la combinazione eccezionale. Non applicare i coefficienti delle azioni variabili ordinarie.</w:t>
      </w:r>
    </w:p>
    <w:p>
      <w:pPr>
        <w:spacing w:after="100"/>
      </w:pPr>
      <w:r>
        <w:rPr>
          <w:rFonts w:ascii="Arial" w:hAnsi="Arial"/>
          <w:sz w:val="18"/>
        </w:rPr>
        <w:t>Eurocodice di prima generazione, valori raccomandati salvo parametri assegnati. Fonte dei parametri nazionali/progettuali: Esempio didattico: valori raccomandati EN di prima generazione, clima assegnato; nessuna appendice nazionale selezionata.</w:t>
      </w:r>
    </w:p>
    <w:p>
      <w:pPr>
        <w:spacing w:after="100"/>
      </w:pPr>
      <w:r>
        <w:rPr>
          <w:rFonts w:ascii="Arial" w:hAnsi="Arial"/>
          <w:sz w:val="18"/>
        </w:rPr>
        <w:t>Il franco è quello netto futuro al punto d’impatto, considerando ripavimentazioni, deformazioni e cedimenti. NTC: impalcato nel suo insieme, §5.1.3.13. EN: eventuali urti trasversali da definire per il progetto.</w:t>
      </w:r>
    </w:p>
    <w:p>
      <w:pPr>
        <w:spacing w:after="100"/>
      </w:pPr>
      <w:r>
        <w:rPr>
          <w:rFonts w:ascii="Arial" w:hAnsi="Arial"/>
          <w:sz w:val="18"/>
        </w:rPr>
        <w:t>Non comprende azioni sulle barriere di sicurezza e relativi ancoraggi, urti ferroviari/navali, incendio, esplosioni o analisi dinamiche d’impatto.</w:t>
      </w:r>
    </w:p>
    <w:sectPr>
      <w:pgSz w:w="11906" w:h="16838"/>
      <w:pgMar w:top="1134" w:bottom="1134" w:left="1134" w:right="1134"/>
    </w:sectPr>
  </w:body>
</w:document>
</file>

<file path=word/_rels/document.xml.rels><Relationships xmlns="http://schemas.openxmlformats.org/package/2006/relationships">
  <Relationship Id="climate1" Type="http://schemas.openxmlformats.org/officeDocument/2006/relationships/image" Target="media/climate1.png" />
</Relationships>
</file>