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Urto NTC · pila prossima alla strada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Italia · NTC 2018 (DM 17/01/2018) · Circolare 21/01/2019 n. 7</w:t>
      </w:r>
    </w:p>
    <w:p>
      <w:pPr>
        <w:spacing w:after="100"/>
      </w:pPr>
      <w:r>
        <w:rPr>
          <w:rFonts w:ascii="Arial" w:hAnsi="Arial"/>
          <w:sz w:val="18"/>
        </w:rPr>
        <w:t>Urti veicolari: forze statiche equivalenti di progetto, casi alternativi</w:t>
      </w:r>
    </w:p>
    <w:p>
      <w:r>
        <w:drawing>
          <inline xmlns="http://schemas.openxmlformats.org/drawingml/2006/wordprocessingDrawing">
            <extent cx="6096000" cy="2438400"/>
            <docPr id="1" name="urti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urti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Italia · NTC 2018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Elemento soggetto a urto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Piedritto / membratura verticale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Categoria di traffico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Autostrada / strada principale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Larghezza membratura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Forze equivalenti da studio specifico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h · Quota impatto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1,25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Rispetto al piano di marcia · NTC 2018 §3.6.3.3.1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 · Altezza impronta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Impronta rettangolare · NTC 2018 §3.6.3.3.1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b · Larghezza impronta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min(1,50 m, larghezza membratura) per piedritti · NTC 2018 §3.6.3.3.1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Parallelo alla marcia</w:t>
      </w:r>
    </w:p>
    <w:p>
      <w:pPr>
        <w:spacing w:after="100"/>
      </w:pPr>
      <w:r>
        <w:rPr>
          <w:rFonts w:ascii="Arial" w:hAnsi="Arial"/>
          <w:sz w:val="18"/>
        </w:rPr>
        <w:t>Caso non simultaneo all’altra direzione.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 · Forza orizzontale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forze equivalenti · NTC 2018 §3.6.3.3.1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 · Momento rispetto al piano viario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1250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 h · NTC 2018 §3.6.3.3.1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Ortogonale alla marcia</w:t>
      </w:r>
    </w:p>
    <w:p>
      <w:pPr>
        <w:spacing w:after="100"/>
      </w:pPr>
      <w:r>
        <w:rPr>
          <w:rFonts w:ascii="Arial" w:hAnsi="Arial"/>
          <w:sz w:val="18"/>
        </w:rPr>
        <w:t>Caso non simultaneo all’altra direzione.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 · Forza orizzontale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forze equivalenti · NTC 2018 §3.6.3.3.1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 · Momento rispetto al piano viario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625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 h · NTC 2018 §3.6.3.3.1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Forze eccezionali di progetto Ad, già pronte per la combinazione eccezionale. Non applicare i coefficienti delle azioni variabili ordinarie.</w:t>
      </w:r>
    </w:p>
    <w:p>
      <w:pPr>
        <w:spacing w:after="100"/>
      </w:pPr>
      <w:r>
        <w:rPr>
          <w:rFonts w:ascii="Arial" w:hAnsi="Arial"/>
          <w:sz w:val="18"/>
        </w:rPr>
        <w:t>Autocarri: quota NTC 1,25 m; automobili: 0,50 m.</w:t>
      </w:r>
    </w:p>
    <w:p>
      <w:pPr>
        <w:spacing w:after="100"/>
      </w:pPr>
      <w:r>
        <w:rPr>
          <w:rFonts w:ascii="Arial" w:hAnsi="Arial"/>
          <w:sz w:val="18"/>
        </w:rPr>
        <w:t>Non comprende azioni sulle barriere di sicurezza e relativi ancoraggi, urti ferroviari/navali, incendio, esplosioni o analisi dinamiche d’impatto.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