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Vento CNR · impalcati indipendenti affiancati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 · coefficienti CNR-DT 207 R1/2018 §G.11</w:t>
      </w:r>
    </w:p>
    <w:p>
      <w:pPr>
        <w:spacing w:after="100"/>
      </w:pPr>
      <w:r>
        <w:rPr>
          <w:rFonts w:ascii="Arial" w:hAnsi="Arial"/>
          <w:sz w:val="18"/>
        </w:rPr>
        <w:t>Forze statiche per unità di lunghezza dell’impalcato e momenti torcenti; quattro combinazioni dei segni di portanza e momento.</w:t>
      </w:r>
    </w:p>
    <w:p>
      <w:r>
        <w:drawing>
          <inline xmlns="http://schemas.openxmlformats.org/drawingml/2006/wordprocessingDrawing">
            <extent cx="6096000" cy="2438400"/>
            <docPr id="1" name="vento-pon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vento-pon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Zona vento NTC (1…9)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velocità base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Periodo di ritorno TR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anni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Categoria: NTC 1…5; EN 0…4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Topografia ct / orografia 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Densità dell’aria ρ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1,25 kg/m³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impalcato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Ingombro totale htot (arredi/traffico)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Quota massima centro impalcato dal suolo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totale ponte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dinamico cd / cs·cd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applicabilità CNR G.11 e valutazione dinamica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cfX (necessario per d/htot &lt; 2)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Due impalcati affiancati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secondo impalcato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Interspazio netto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Impalcati collegati strutturalmente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Velocità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vb,0 · ca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cprob · Coefficiente periodo di ritorno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0,75√[1−0,2 ln(−ln(1−1/TR))]; 1 per TR=50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Velocità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cprob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z0 · Rugosità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zmin · Quota minima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kr · Fattore terreno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NTC / 0,19(z0/0,05)^0,07 EN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 · Quota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vm · Velocità media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30,73621313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kr · co · ln(max(z,zmin)/z0)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Iv · Intensità turbolenza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0,1669041003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kI/[co · ln(max(z,zmin)/z0)]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qb · Pressione cinetica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0,455625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ρ · vr²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2,809948163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qp/qb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Pressione cinetica di picco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1,280282632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(1+7Iv) · ρ · vm²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d/htot · Rapporto geometrico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d/htot · CNR G.11.1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cfX · Coefficiente forza lungo il 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1,85/r−0,10 per 2≤r≤5; 1,35/r per r&gt;5 · CNR (G.25a)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|cfY| · Coefficiente portanza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0,7+0,1r per r≤5; 1,2 oltre · CNR (G.25b)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|cmZ| · Coefficiente momento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±0,2 · CNR (G.25c)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1 · indipendente · Y-1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1 · indipendente · Y-1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1 · indipendente · Y+1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1 · indipendente · Y+1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2 · indipendente · Y-1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2 · indipendente · Y-1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2 · indipendente · Y+1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2 · indipendente · Y+1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24,06931348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Pile comuni · coppia · Y-1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Pile comuni · coppia · Y-1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Pile comuni · coppia · Y+1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Pile comuni · coppia · Y+1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Coppia/pile · vento da impalcato 2 · Y-1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Coppia/pile · vento da impalcato 2 · Y-1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Coppia/pile · vento da impalcato 2 · Y+1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Coppia/pile · vento da impalcato 2 · Y+1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32,26312232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112,9209281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Categoria di esposizione, topografia e parametri del sito devono corrispondere alla direzione esaminata; non sono dedotti dalla sola zona geografica.</w:t>
      </w:r>
    </w:p>
    <w:p>
      <w:pPr>
        <w:spacing w:after="100"/>
      </w:pPr>
      <w:r>
        <w:rPr>
          <w:rFonts w:ascii="Arial" w:hAnsi="Arial"/>
          <w:sz w:val="18"/>
        </w:rPr>
        <w:t>Impalcati affiancati di forma simile e uguale htot: CNR G.11.2. Le azioni sugli impalcati indipendenti non si sommano per le pile comuni; usare i casi coppia/pile.</w:t>
      </w:r>
    </w:p>
    <w:p>
      <w:pPr>
        <w:spacing w:after="100"/>
      </w:pPr>
      <w:r>
        <w:rPr>
          <w:rFonts w:ascii="Arial" w:hAnsi="Arial"/>
          <w:sz w:val="18"/>
        </w:rPr>
        <w:t>htot comprende l’ingombro effettivo di impalcato, arredi e traffico: sagoma convenzionale stradale 3 m, ferroviaria 4 m sopra il piano. Ripetere senza traffico per l’inviluppo.</w:t>
      </w:r>
    </w:p>
    <w:p>
      <w:pPr>
        <w:spacing w:after="100"/>
      </w:pPr>
      <w:r>
        <w:rPr>
          <w:rFonts w:ascii="Arial" w:hAnsi="Arial"/>
          <w:sz w:val="18"/>
        </w:rPr>
        <w:t>Il coefficiente dinamico assegnato è applicato alla sola componente lungo vento. Risposta trasversale/torsionale, distacco vortici, flutter, fatica e buffeting non sono verificati da questo calcolo statico.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