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Vento CNR · impalcato isolato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Italia · NTC 2018 (DM 17/01/2018) · Circolare 21/01/2019 n. 7 · coefficienti CNR-DT 207 R1/2018 §G.11</w:t>
      </w:r>
    </w:p>
    <w:p>
      <w:pPr>
        <w:spacing w:after="100"/>
      </w:pPr>
      <w:r>
        <w:rPr>
          <w:rFonts w:ascii="Arial" w:hAnsi="Arial"/>
          <w:sz w:val="18"/>
        </w:rPr>
        <w:t>Forze statiche per unità di lunghezza dell’impalcato e momenti torcenti; quattro combinazioni dei segni di portanza e momento.</w:t>
      </w:r>
    </w:p>
    <w:p>
      <w:r>
        <w:drawing>
          <inline xmlns="http://schemas.openxmlformats.org/drawingml/2006/wordprocessingDrawing">
            <extent cx="6096000" cy="2438400"/>
            <docPr id="1" name="vento-ponti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vento-ponti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Italia · NTC 2018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Zona vento NTC (1…9)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Quota sul mare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Assegna velocità base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Periodo di ritorno TR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50 anni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Categoria: NTC 1…5; EN 0…4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Topografia ct / orografia 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Densità dell’aria ρ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1,25 kg/m³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impalcato d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Ingombro totale htot (arredi/traffico)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Quota massima centro impalcato dal suolo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19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Lunghezza totale ponte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Coefficiente dinamico cd / cs·cd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Confermo applicabilità CNR G.11 e valutazione dinamica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 cfX (necessario per d/htot &lt; 2)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Due impalcati affiancati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vb · Velocità base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m/s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vb,0 · ca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cprob · Coefficiente periodo di ritorno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0,75√[1−0,2 ln(−ln(1−1/TR))]; 1 per TR=50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vr · Velocità di riferimento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27 m/s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vb · cprob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z0 · Rugosità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0,05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categoria terreno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zmin · Quota minima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categoria terreno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kr · Fattore terreno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0,19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NTC / 0,19(z0/0,05)^0,07 EN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z · Quota di riferimento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assegnata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vm · Velocità media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30,73621313 m/s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vr · kr · co · ln(max(z,zmin)/z0)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Iv · Intensità turbolenza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0,1669041003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kI/[co · ln(max(z,zmin)/z0)]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qb · Pressione cinetica base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0,455625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ρ · vr² / 2000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ce · Coefficiente esposizione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2,809948163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qp/qb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Pressione cinetica di picco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1,280282632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(1+7Iv) · ρ · vm² / 2000 · NTC §§3.3.1–3.3.7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d/htot · Rapporto geometrico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d/htot · CNR G.11.1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cfX · Coefficiente forza lungo il vento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0,27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1,85/r−0,10 per 2≤r≤5; 1,35/r per r&gt;5 · CNR (G.25a)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|cfY| · Coefficiente portanza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0,7+0,1r per r≤5; 1,2 oltre · CNR (G.25b)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|cmZ| · Coefficiente momento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±0,2 · CNR (G.25c)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Impalcato isolato · Y-1 M-1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-15,36339158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-25,60565263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Impalcato isolato · Y-1 M+1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-15,36339158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25,60565263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Impalcato isolato · Y+1 M-1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15,36339158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-25,60565263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Impalcato isolato · Y+1 M+1</w:t>
      </w:r>
    </w:p>
    <w:p>
      <w:pPr>
        <w:spacing w:after="100"/>
      </w:pPr>
      <w:r>
        <w:rPr>
          <w:rFonts w:ascii="Arial" w:hAnsi="Arial"/>
          <w:sz w:val="18"/>
        </w:rPr>
        <w:t>X concorde al vento; Y verticale positivo verso l’alto; MZ torcente. Invertire il vento per la direzione opposta.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 · Forza orizzontale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cfX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fY · Forza verticale statica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15,36339158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 · cfY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mZ · Momento torcente statico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25,60565263 kN·m/m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qp · d² · cmZ · CNR §3.3 e G.11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fX,eq · Forza orizzontale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3,456763106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cd assegnato · fX · CNR §3.4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Valori caratteristici; coefficienti parziali e combinazioni con altre azioni da applicare nel modello strutturale.</w:t>
      </w:r>
    </w:p>
    <w:p>
      <w:pPr>
        <w:spacing w:after="100"/>
      </w:pPr>
      <w:r>
        <w:rPr>
          <w:rFonts w:ascii="Arial" w:hAnsi="Arial"/>
          <w:sz w:val="18"/>
        </w:rPr>
        <w:t>Categoria di esposizione, topografia e parametri del sito devono corrispondere alla direzione esaminata; non sono dedotti dalla sola zona geografica.</w:t>
      </w:r>
    </w:p>
    <w:p>
      <w:pPr>
        <w:spacing w:after="100"/>
      </w:pPr>
      <w:r>
        <w:rPr>
          <w:rFonts w:ascii="Arial" w:hAnsi="Arial"/>
          <w:sz w:val="18"/>
        </w:rPr>
        <w:t>htot comprende l’ingombro effettivo di impalcato, arredi e traffico: sagoma convenzionale stradale 3 m, ferroviaria 4 m sopra il piano. Ripetere senza traffico per l’inviluppo.</w:t>
      </w:r>
    </w:p>
    <w:p>
      <w:pPr>
        <w:spacing w:after="100"/>
      </w:pPr>
      <w:r>
        <w:rPr>
          <w:rFonts w:ascii="Arial" w:hAnsi="Arial"/>
          <w:sz w:val="18"/>
        </w:rPr>
        <w:t>Il coefficiente dinamico assegnato è applicato alla sola componente lungo vento. Risposta trasversale/torsionale, distacco vortici, flutter, fatica e buffeting non sono verificati da questo calcolo statico.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