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14:36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-124.80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124.80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200.00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-300.00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50.00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30.00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509.91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1168.67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1256.64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141.04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195.83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Pile · NTC §7.9.5.2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0.75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58.30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256256.00 mm²; uk = 2064.00 mm; t = 184.00 mm; As,l richiesta = 205.84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</w:t>
      </w:r>
    </w:p>
    <w:p>
      <w:pPr>
        <w:pStyle w:val="Normal"/>
      </w:pPr>
      <w:r>
        <w:t xml:space="preserve">7 soddisfatti · 2 non soddisfatti · 1 da completare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Interferro minimo</w:t>
      </w:r>
    </w:p>
    <w:p>
      <w:pPr>
        <w:pStyle w:val="Normal"/>
      </w:pPr>
      <w:r>
        <w:t xml:space="preserve">Valore: 59.2 · limite: 25 mm</w:t>
      </w:r>
    </w:p>
    <w:p>
      <w:pPr>
        <w:pStyle w:val="Normal"/>
      </w:pPr>
      <w:r>
        <w:t xml:space="preserve">max(20 mm; Ømax; dg + 5 mm), controllo conservativo su tutte le coppie.</w:t>
      </w:r>
    </w:p>
    <w:p>
      <w:pPr>
        <w:pStyle w:val="Normal"/>
      </w:pPr>
      <w:r>
        <w:t xml:space="preserve">NTC 2018 §4.1.6.1.3 / EC2 §8.2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Copriferro nominale</w:t>
      </w:r>
    </w:p>
    <w:p>
      <w:pPr>
        <w:pStyle w:val="Normal"/>
      </w:pPr>
      <w:r>
        <w:t xml:space="preserve">Valore: 70 · limite: 35 mm</w:t>
      </w:r>
    </w:p>
    <w:p>
      <w:pPr>
        <w:pStyle w:val="Normal"/>
      </w:pPr>
      <w:r>
        <w:t xml:space="preserve">max(10; cmin,dur; cmin,b) + Δcdev. cmin,dur proviene dal progetto di durabilità.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Margine copriferro barre longitudinali</w:t>
      </w:r>
    </w:p>
    <w:p>
      <w:pPr>
        <w:pStyle w:val="Normal"/>
      </w:pPr>
      <w:r>
        <w:t xml:space="preserve">Valore: 45 · limite: 0 mm</w:t>
      </w:r>
    </w:p>
    <w:p>
      <w:pPr>
        <w:pStyle w:val="Normal"/>
      </w:pPr>
      <w:r>
        <w:t xml:space="preserve">Minimo (copriferro geometrico della barra − copriferro richiesto), su contorno esterno e foro. Stessa classe di esposizione per tutte le superfici.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Diametro longitudinale</w:t>
      </w:r>
    </w:p>
    <w:p>
      <w:pPr>
        <w:pStyle w:val="Normal"/>
      </w:pPr>
      <w:r>
        <w:t xml:space="preserve">Valore: 16 · limite: 12 mm</w:t>
      </w:r>
    </w:p>
    <w:p>
      <w:pPr>
        <w:pStyle w:val="Normal"/>
      </w:pPr>
      <w:r>
        <w:t xml:space="preserve">Ømin ≥ 12 mm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NON SODDISFATTO · Interasse longitudinale</w:t>
      </w:r>
    </w:p>
    <w:p>
      <w:pPr>
        <w:pStyle w:val="Normal"/>
      </w:pPr>
      <w:r>
        <w:t xml:space="preserve">Valore: 424 · limite: 300 mm</w:t>
      </w:r>
    </w:p>
    <w:p>
      <w:pPr>
        <w:pStyle w:val="Normal"/>
      </w:pPr>
      <w:r>
        <w:t xml:space="preserve">Interasse sulle facce / sul perimetro ≤ 300 mm.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Armatura longitudinale minima</w:t>
      </w:r>
    </w:p>
    <w:p>
      <w:pPr>
        <w:pStyle w:val="Normal"/>
      </w:pPr>
      <w:r>
        <w:t xml:space="preserve">Valore: 4775.221 · limite: 1440 mm²</w:t>
      </w:r>
    </w:p>
    <w:p>
      <w:pPr>
        <w:pStyle w:val="Normal"/>
      </w:pPr>
      <w:r>
        <w:t xml:space="preserve">max(0,10 NEd/fyd; 0,003 Ac), NEd massimo di compressione fra le combinazioni.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Armatura longitudinale massima</w:t>
      </w:r>
    </w:p>
    <w:p>
      <w:pPr>
        <w:pStyle w:val="Normal"/>
      </w:pPr>
      <w:r>
        <w:t xml:space="preserve">Valore: 4775.221 · limite: 19200 mm²</w:t>
      </w:r>
    </w:p>
    <w:p>
      <w:pPr>
        <w:pStyle w:val="Normal"/>
      </w:pPr>
      <w:r>
        <w:t xml:space="preserve">As ≤ 0,04 Ac fuori dalle sovrapposizioni.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Diametro staffe</w:t>
      </w:r>
    </w:p>
    <w:p>
      <w:pPr>
        <w:pStyle w:val="Normal"/>
      </w:pPr>
      <w:r>
        <w:t xml:space="preserve">Valore: 10 · limite: 6 mm</w:t>
      </w:r>
    </w:p>
    <w:p>
      <w:pPr>
        <w:pStyle w:val="Normal"/>
      </w:pPr>
      <w:r>
        <w:t xml:space="preserve">max(6 mm; Ølong,max/4)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NON SODDISFATTO · Passo staffe</w:t>
      </w:r>
    </w:p>
    <w:p>
      <w:pPr>
        <w:pStyle w:val="Normal"/>
      </w:pPr>
      <w:r>
        <w:t xml:space="preserve">Valore: 200 · limite: 192 mm</w:t>
      </w:r>
    </w:p>
    <w:p>
      <w:pPr>
        <w:pStyle w:val="Normal"/>
      </w:pPr>
      <w:r>
        <w:t xml:space="preserve">min(250 mm; 12 Ølong,min)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DA COMPLETARE · Barre trattenute dalle staffe</w:t>
      </w:r>
    </w:p>
    <w:p>
      <w:pPr>
        <w:pStyle w:val="Normal"/>
      </w:pPr>
      <w:r>
        <w:t xml:space="preserve">Valore: — · limite: — </w:t>
      </w:r>
    </w:p>
    <w:p>
      <w:pPr>
        <w:pStyle w:val="Normal"/>
      </w:pPr>
      <w:r>
        <w:t xml:space="preserve">Confermare la disposizione effettiva di staffe e legature sulle barre compresse.</w:t>
      </w:r>
    </w:p>
    <w:p>
      <w:pPr>
        <w:pStyle w:val="Normal"/>
      </w:pPr>
      <w:r>
        <w:t xml:space="preserve">NTC 2018 §4.1.6.1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Ancoraggi e giunzioni</w:t>
      </w:r>
    </w:p>
    <w:p>
      <w:pPr>
        <w:pStyle w:val="Normal"/>
      </w:pPr>
      <w:r>
        <w:t xml:space="preserve">Ancoraggio rettilineo · Ø24</w:t>
      </w:r>
    </w:p>
    <w:p>
      <w:pPr>
        <w:pStyle w:val="Normal"/>
      </w:pPr>
      <w:r>
        <w:t xml:space="preserve">σsd = 391.304 MPa</w:t>
      </w:r>
    </w:p>
    <w:p>
      <w:pPr>
        <w:pStyle w:val="Normal"/>
      </w:pPr>
      <w:r>
        <w:t xml:space="preserve">fbd = 3.37 MPa</w:t>
      </w:r>
    </w:p>
    <w:p>
      <w:pPr>
        <w:pStyle w:val="Normal"/>
      </w:pPr>
      <w:r>
        <w:t xml:space="preserve">lb,rqd = 696.589 mm</w:t>
      </w:r>
    </w:p>
    <w:p>
      <w:pPr>
        <w:pStyle w:val="Normal"/>
      </w:pPr>
      <w:r>
        <w:t xml:space="preserve">Lunghezza richiesta = 696.589 mm</w:t>
      </w:r>
    </w:p>
    <w:p>
      <w:pPr>
        <w:pStyle w:val="Normal"/>
      </w:pPr>
      <w:r>
        <w:t xml:space="preserve">Disponibile = 1200 mm</w:t>
      </w:r>
    </w:p>
    <w:p>
      <w:pPr>
        <w:pStyle w:val="Normal"/>
      </w:pPr>
      <w:r>
        <w:t xml:space="preserve">Lunghezza e interferro soddisfatti</w:t>
      </w:r>
    </w:p>
    <w:p>
      <w:pPr>
        <w:pStyle w:val="Normal"/>
      </w:pPr>
      <w:r>
        <w:t xml:space="preserve">lb,rqd = Ø·σsd/(4fbd); lbd = max(lb,rqd; 20Ø; 150 mm). Barra rettilinea, nessuna riduzione favorevole.</w:t>
      </w:r>
    </w:p>
    <w:p>
      <w:pPr>
        <w:pStyle w:val="Normal"/>
      </w:pPr>
      <w:r>
        <w:t xml:space="preserve">NTC §§4.1.2.1.1.4, 4.1.2.3.10, 4.1.6.1.4 / EC2 §§8.4 e 8.7.</w:t>
      </w:r>
    </w:p>
    <w:p>
      <w:pPr>
        <w:pStyle w:val="Normal"/>
      </w:pPr>
      <w:r>
        <w:t xml:space="preserve">Confinamento, posizione delle giunzioni e cautele per Ø &gt; 32 mm devono essere verificati nel dettaglio esecutivo.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Primo snervamento raffinato con 12 bisezioni, My = 843.5566 kNm. N del punto limite = -500.160807 kN; residuo = -0.160807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945.71 kNm; χy = 4.42E-3 1/m; χu = 0.02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7.58E-6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6.57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26.27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5.57E-5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59.11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105.08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2.25E-4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164.19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4.67E-4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236.43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8.39E-4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321.80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420.31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531.96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2.53E-3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656.74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3.27E-3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794.66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4.11E-3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843.56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4.42E-3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1.96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945.71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-3.50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3.50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12.15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