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Ponte di prova</w:t>
      </w:r>
    </w:p>
    <w:p>
      <w:pPr>
        <w:pStyle w:val="Normal"/>
      </w:pPr>
      <w:r>
        <w:t xml:space="preserve">ANTHEA · 24/09/2026 16:39</w:t>
      </w:r>
    </w:p>
    <w:p>
      <w:pPr>
        <w:pStyle w:val="Normal"/>
      </w:pPr>
      <w:r>
        <w:t xml:space="preserve">Il documento comprende 7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3 proprietà in conflitto e 1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node1">
        <w:r>
          <w:t>1 Ponte di prova</w:t>
        </w:r>
      </w:hyperlink>
    </w:p>
    <w:p>
      <w:pPr>
        <w:spacing w:after="45"/>
        <w:ind w:left="180"/>
      </w:pPr>
      <w:hyperlink w:anchor="node1_1">
        <w:r>
          <w:t>1.1 Calcestruzzo di progetto</w:t>
        </w:r>
      </w:hyperlink>
    </w:p>
    <w:p>
      <w:pPr>
        <w:spacing w:after="45"/>
        <w:ind w:left="180"/>
      </w:pPr>
      <w:hyperlink w:anchor="node1_2">
        <w:r>
          <w:t>1.2 Fondazioni</w:t>
        </w:r>
      </w:hyperlink>
    </w:p>
    <w:p>
      <w:pPr>
        <w:spacing w:after="45"/>
        <w:ind w:left="360"/>
      </w:pPr>
      <w:hyperlink w:anchor="node1_2_1">
        <w:r>
          <w:t>1.2.1 Acciaio pali</w:t>
        </w:r>
      </w:hyperlink>
    </w:p>
    <w:p>
      <w:pPr>
        <w:spacing w:after="45"/>
        <w:ind w:left="360"/>
      </w:pPr>
      <w:hyperlink w:anchor="node1_2_2">
        <w:r>
          <w:t>1.2.2 Spalla A</w:t>
        </w:r>
      </w:hyperlink>
    </w:p>
    <w:p>
      <w:pPr>
        <w:spacing w:after="45"/>
        <w:ind w:left="540"/>
      </w:pPr>
      <w:hyperlink w:anchor="node1_2_2_1">
        <w:r>
          <w:t>1.2.2.1 Pali</w:t>
        </w:r>
      </w:hyperlink>
    </w:p>
    <w:p>
      <w:pPr>
        <w:spacing w:after="45"/>
        <w:ind w:left="720"/>
      </w:pPr>
      <w:hyperlink w:anchor="node1_2_2_1_1">
        <w:r>
          <w:t>1.2.2.1.1 Verifica sezione</w:t>
        </w:r>
      </w:hyperlink>
    </w:p>
    <w:p>
      <w:pPr>
        <w:spacing w:after="45"/>
        <w:ind w:left="720"/>
      </w:pPr>
      <w:hyperlink w:anchor="node1_2_2_1_2">
        <w:r>
          <w:t>1.2.2.1.2 Capacità verticale</w:t>
        </w:r>
      </w:hyperlink>
    </w:p>
    <w:p>
      <w:pPr>
        <w:spacing w:after="45"/>
        <w:ind w:left="720"/>
      </w:pPr>
      <w:hyperlink w:anchor="node1_2_2_1_3">
        <w:r>
          <w:t>1.2.2.1.3 Capacità orizzontale</w:t>
        </w:r>
      </w:hyperlink>
    </w:p>
    <w:p>
      <w:pPr>
        <w:spacing w:after="45"/>
        <w:ind w:left="360"/>
      </w:pPr>
      <w:hyperlink w:anchor="node1_2_3">
        <w:r>
          <w:t>1.2.3 Sezione da completare</w:t>
        </w:r>
      </w:hyperlink>
    </w:p>
    <w:p>
      <w:pPr>
        <w:spacing w:after="45"/>
        <w:ind w:left="180"/>
      </w:pPr>
      <w:hyperlink w:anchor="node1_3">
        <w:r>
          <w:t>1.3 Ramo indipendente</w:t>
        </w:r>
      </w:hyperlink>
    </w:p>
    <w:p>
      <w:pPr>
        <w:spacing w:after="45"/>
        <w:ind w:left="360"/>
      </w:pPr>
      <w:hyperlink w:anchor="node1_3_1">
        <w:r>
          <w:t>1.3.1 Micropalo verticale</w:t>
        </w:r>
      </w:hyperlink>
    </w:p>
    <w:p>
      <w:pPr>
        <w:spacing w:after="45"/>
        <w:ind w:left="360"/>
      </w:pPr>
      <w:hyperlink w:anchor="node1_3_2">
        <w:r>
          <w:t>1.3.2 Micropalo orizzontale</w:t>
        </w:r>
      </w:hyperlink>
    </w:p>
    <w:p>
      <w:pPr>
        <w:pStyle w:val="Heading1"/>
      </w:pPr>
      <w:r>
        <w:t xml:space="preserve">Conflitti tra i fogli</w:t>
      </w:r>
    </w:p>
    <w:p>
      <w:pPr>
        <w:pStyle w:val="Normal"/>
      </w:pPr>
      <w:r>
        <w:t xml:space="preserve">I valori discordanti sono conservati nei rispettivi fogli e non vengono unificati nel report.</w:t>
      </w:r>
    </w:p>
    <w:p>
      <w:pPr>
        <w:pStyle w:val="Heading2"/>
      </w:pPr>
      <w:r>
        <w:t xml:space="preserve">Diametro perforazione [mm]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Lunghezza [m]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CHS · profilo chs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Avvisi</w:t>
      </w:r>
    </w:p>
    <w:p>
      <w:pPr>
        <w:pStyle w:val="Notice"/>
      </w:pPr>
      <w:r>
        <w:t xml:space="preserve">1.2.2.1.2 Capacità verticale: Dati incompleti o calcolo non riuscito. Aprire la scheda per correggere gli input.</w:t>
      </w:r>
    </w:p>
    <w:p>
      <w:bookmarkStart w:id="1" w:name="node1"/>
      <w:pPr>
        <w:pStyle w:val="Heading1"/>
      </w:pPr>
      <w:r>
        <w:t xml:space="preserve">1 Ponte di prova</w:t>
      </w:r>
      <w:bookmarkEnd w:id="1"/>
    </w:p>
    <w:p>
      <w:pPr>
        <w:pStyle w:val="Heading2"/>
      </w:pPr>
      <w:r>
        <w:t xml:space="preserve">Materiali comuni</w:t>
      </w:r>
    </w:p>
    <w:p>
      <w:pPr>
        <w:pStyle w:val="Normal"/>
      </w:pPr>
      <w:r>
        <w:t xml:space="preserve">Riferimento: Ponte di prova. Utilizzati da: 1.1 Calcestruzzo di progetto;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CLS · fck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di esposizione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XC1</w:t>
            </w:r>
          </w:p>
        </w:tc>
      </w:tr>
    </w:tbl>
    <w:p>
      <w:pPr>
        <w:pStyle w:val="Normal"/>
      </w:pPr>
      <w:r>
        <w:t xml:space="preserve"/>
      </w:r>
    </w:p>
    <w:p>
      <w:bookmarkStart w:id="2" w:name="node1_1"/>
      <w:pPr>
        <w:pStyle w:val="Heading2"/>
      </w:pPr>
      <w:r>
        <w:t xml:space="preserve">1.1 Calcestruzzo di progetto</w:t>
      </w:r>
      <w:bookmarkEnd w:id="2"/>
    </w:p>
    <w:p>
      <w:pPr>
        <w:pStyle w:val="Normal"/>
      </w:pPr>
      <w:r>
        <w:t xml:space="preserve">Dati condivisi: vedere 1 Ponte di prova — Materiali.</w:t>
      </w:r>
    </w:p>
    <w:p>
      <w:pPr>
        <w:pStyle w:val="Heading3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numeri/aggregate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numeri/bondAlpha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numeri/bondGamma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scelte/ntcElement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Trave / pilastro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scelte/coverMethod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Circ. 2019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scelte/life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 anni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scelte/deviationControl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Ordinario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scelte/deviationValue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scelte/ground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Casseratura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scelte/abrasion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scelte/consistency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Da definire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CEM 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scelte/cementClass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scelte/cementEarly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scelte/bondCondition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Altre · η₁ = 0,7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opzioni/highStrength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opzioni/slab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opzioni/quality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opzioni/rough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Scheda CLS · opzioni/ntcQuality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cubica (classe) · Rck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compressione · fcm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trazione · fctm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5% · fctk,0.05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2,03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95% · fctk,0.95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3,77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secante · Ecm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32.836,57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al picco · parabola-rettangolo · εc2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· parabola-rettangolo · εcu2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Poisson · ν [—]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fbd = 2,13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φ = 16 mm  ·  η₁ = 0,70  ·  η₂ = 1,00
fctk,0.05 per aderenza = 2,03 MPa
fctd = 1,35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nominale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cnom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Circolare · ambiente ordinario
XC1 · Trave / pilastro
Cmin (fck) = 25 MPa · C0 (fck) = 35 MPa
Minimo tabellare = 25 mm
Vita utile: +0 mm; classe &lt; Cmin: +0 mm
Controllo dei copriferri: −0 mm
Minimo per durabilità = 25 mm
Minimo per aderenza = 16 mm
cmin = max(durabilità; aderenza; 10) + superficie/abrasione = 25 mm
cnom = cmin + Δcdev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Applicabilità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2018 tab. 4.1.III; Circolare 7/2019 §C4.1.6.1.3 e tab. C4.1.IV, barre ordinarie. Requisiti integrativi di aderenza, Dmax, superficie, abrasione e getto su terreno: EC2 §4.4.1. Verifiche al fuoco separate. Copriferro riferito all'armatura più vicina, staffe comprese.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A/C massimo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Dosaggio minimo di cemento [kg/m³]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Contenuto minimo di aria [%]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Non prescritto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Indicazioni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0,40: proposta per armatura ordinaria dagli esempi ATECAP, pp. 43–50; non è una classe dedotta dall’esposizione e va confermata nella prescrizione.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Riferimenti della composizione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ATECAP 2020, p. 19, prospetto 5 UNI 11104. Per esposizioni concomitanti: il minore A/C massimo e il maggiore dosaggio minimo. Valori senza applicazione del concetto k per le aggiunte (nota d).
Esposizioni: XC1. Classe minima: C25/30.</w:t>
            </w:r>
          </w:p>
        </w:tc>
      </w:tr>
    </w:tbl>
    <w:p>
      <w:pPr>
        <w:pStyle w:val="Normal"/>
      </w:pPr>
      <w:r>
        <w:t xml:space="preserve"/>
      </w:r>
    </w:p>
    <w:p>
      <w:bookmarkStart w:id="3" w:name="node1_2"/>
      <w:pPr>
        <w:pStyle w:val="Heading2"/>
      </w:pPr>
      <w:r>
        <w:t xml:space="preserve">1.2 Fondazioni</w:t>
      </w:r>
      <w:bookmarkEnd w:id="3"/>
    </w:p>
    <w:p>
      <w:pPr>
        <w:pStyle w:val="Heading3"/>
      </w:pPr>
      <w:r>
        <w:t xml:space="preserve">Materiali comuni</w:t>
      </w:r>
    </w:p>
    <w:p>
      <w:pPr>
        <w:pStyle w:val="Normal"/>
      </w:pPr>
      <w:r>
        <w:t xml:space="preserve">Riferimento: Ponte di prova › Fondazioni. Utilizzati da: 1.2.1 Acciaio pali;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Nome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Snervamento acciaio fyk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Es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fu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εu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Elastoplastico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</w:tbl>
    <w:p>
      <w:pPr>
        <w:pStyle w:val="Normal"/>
      </w:pPr>
      <w:r>
        <w:t xml:space="preserve"/>
      </w:r>
    </w:p>
    <w:p>
      <w:bookmarkStart w:id="4" w:name="node1_2_1"/>
      <w:pPr>
        <w:pStyle w:val="Heading3"/>
      </w:pPr>
      <w:r>
        <w:t xml:space="preserve">1.2.1 Acciaio pali</w:t>
      </w:r>
      <w:bookmarkEnd w:id="4"/>
    </w:p>
    <w:p>
      <w:pPr>
        <w:pStyle w:val="Normal"/>
      </w:pPr>
      <w:r>
        <w:t xml:space="preserve">Dati condivisi: vedere 1.2 Fondazioni — Materiali.</w:t>
      </w:r>
    </w:p>
    <w:p>
      <w:pPr>
        <w:pStyle w:val="Heading4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di progetto fyd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391,30434783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εyd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1,95652174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fu / fyk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</w:tbl>
    <w:p>
      <w:pPr>
        <w:pStyle w:val="Normal"/>
      </w:pPr>
      <w:r>
        <w:t xml:space="preserve"/>
      </w:r>
    </w:p>
    <w:p>
      <w:bookmarkStart w:id="5" w:name="node1_2_2"/>
      <w:pPr>
        <w:pStyle w:val="Heading3"/>
      </w:pPr>
      <w:r>
        <w:t xml:space="preserve">1.2.2 Spalla A</w:t>
      </w:r>
      <w:bookmarkEnd w:id="5"/>
    </w:p>
    <w:p>
      <w:bookmarkStart w:id="6" w:name="node1_2_2_1"/>
      <w:pPr>
        <w:pStyle w:val="Heading4"/>
      </w:pPr>
      <w:r>
        <w:t xml:space="preserve">1.2.2.1 Pali</w:t>
      </w:r>
      <w:bookmarkEnd w:id="6"/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1.2.2.1.1 Verifica sezione;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Armatura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Numero barre longitudinali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barre longitudinali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Passo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Materiali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αcc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comuni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Terreno comuni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bookmarkStart w:id="7" w:name="node1_2_2_1_1"/>
      <w:pPr>
        <w:pStyle w:val="Heading5"/>
      </w:pPr>
      <w:r>
        <w:t xml:space="preserve">1.2.2.1.1 Verifica sezione</w:t>
      </w:r>
      <w:bookmarkEnd w:id="7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Materiali.</w:t>
      </w:r>
    </w:p>
    <w:p>
      <w:pPr>
        <w:pStyle w:val="Heading6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Parabola-rettangolo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gettato sottile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top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bottom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count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diameter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second inner gap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tipo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interni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schema interno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Bracci paralleli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rotazione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pile requirements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dissipative zone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axial force kn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-2500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x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y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minimum eccentricity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minimum eccentricity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materiale cls nome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Taglio: modello NTC per sezioni rettangolari/a T non precompresse; torsione, interazione biassiale e gerarchia sismica escluse. Circolare, spirale e generica richiedono un modello dedicato. Fessurazione: limiti di applicabilità riportati per combinazione; nessun esito sostitutivo nei casi non supportati.</w:t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6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7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Coefficienti normativi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Coefficiente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Predefinito DLL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Applicato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Modifica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αcc · compressione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αct · trazione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CLS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armature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trefoli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γcE · modulo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γF · fibre (predisposizione)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kε · deformazione acciaio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QP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σs / fyk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σp / fpyk (DLL)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 coefficienti accidentali/FRC esposti non attivano automaticamente verifiche accidentali o materiali fibrorinforzati. L’eventuale fattore NTC 0,80 per getti sottili è applicato separatamente ai parametri pertinenti.</w:t>
      </w:r>
    </w:p>
    <w:p>
      <w:pPr>
        <w:pStyle w:val="Heading6"/>
      </w:pPr>
      <w:r>
        <w:t xml:space="preserve">Sollecitazioni</w:t>
      </w:r>
    </w:p>
    <w:p>
      <w:pPr>
        <w:pStyle w:val="Heading7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Quasi permanente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Taglio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6"/>
      </w:pPr>
      <w:r>
        <w:t xml:space="preserve">Verifiche dominio 3D</w:t>
      </w:r>
    </w:p>
    <w:p>
      <w:pPr>
        <w:pStyle w:val="Heading7"/>
      </w:pPr>
      <w:r>
        <w:t xml:space="preserve">Opzioni dominio 3D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32,00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-2500,37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1499,91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749,96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0,33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-2500,23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1234,58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617,29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0,40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Dominio 3D Plastico in vista isometrica con filtri e livelli correnti</w:t>
      </w:r>
    </w:p>
    <w:p>
      <w:r>
        <w:drawing>
          <inline xmlns="http://schemas.openxmlformats.org/drawingml/2006/wordprocessingDrawing">
            <extent cx="5800000" cy="3625000"/>
            <docPr id="8" name="Dominio 3D Plastico in vista isometrica con filtri e livelli corrent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9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Verifiche dominio 2D</w:t>
      </w:r>
    </w:p>
    <w:p>
      <w:pPr>
        <w:pStyle w:val="Heading7"/>
      </w:pPr>
      <w:r>
        <w:t xml:space="preserve">Opzioni dominio 2D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Mx–My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piano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-1000,00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θ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64,00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Plastico · Mx–My, N = -1000,00 kN nella configurazione grafica corrente</w:t>
      </w:r>
    </w:p>
    <w:p>
      <w:r>
        <w:drawing>
          <inline xmlns="http://schemas.openxmlformats.org/drawingml/2006/wordprocessingDrawing">
            <extent cx="5800000" cy="3625000"/>
            <docPr id="10" name="Plastico · Mx–My, N = -1000,00 kN nella configurazione grafica corrent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1" name="image.png"/>
                    <cNvPicPr/>
                  </nvPicPr>
                  <blipFill>
                    <blip xmlns="http://schemas.openxmlformats.org/drawingml/2006/main" r:embed="img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Rara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1300"/>
        <w:gridCol w:w="1300"/>
        <w:gridCol w:w="1300"/>
        <w:gridCol w:w="312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σc,min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|σs|max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ησ [-]</w:t>
            </w:r>
          </w:p>
        </w:tc>
        <w:tc>
          <w:tcPr>
            <w:tcW w:w="3120" w:type="dxa"/>
            <w:vAlign w:val="center"/>
            <w:shd w:fill="E8EFF7"/>
          </w:tcPr>
          <w:p>
            <w:pPr>
              <w:pStyle w:val="TableHeader"/>
            </w:pPr>
            <w:r>
              <w:t xml:space="preserve">Esito tensioni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48,08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0,50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Entro limiti tensionali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Inviluppo tensioni e deformazioni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4118"/>
        <w:gridCol w:w="1872"/>
        <w:gridCol w:w="3370"/>
      </w:tblGrid>
      <w:tr>
        <w:trPr>
          <w:cantSplit/>
          <w:tblHeader/>
        </w:trPr>
        <w:tc>
          <w:tcPr>
            <w:tcW w:w="4118" w:type="dxa"/>
            <w:vAlign w:val="center"/>
            <w:shd w:fill="E8EFF7"/>
          </w:tcPr>
          <w:p>
            <w:pPr>
              <w:pStyle w:val="TableHeader"/>
            </w:pPr>
            <w:r>
              <w:t xml:space="preserve">Grandezza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Estremo</w:t>
            </w:r>
          </w:p>
        </w:tc>
        <w:tc>
          <w:tcPr>
            <w:tcW w:w="337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 di origine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-48,08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15,19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Caption"/>
      </w:pPr>
      <w:r>
        <w:t xml:space="preserve">SLE Rara · governante tensioni · Combo 1 · CLS · gradiente tensioni</w:t>
      </w:r>
    </w:p>
    <w:p>
      <w:r>
        <w:drawing>
          <inline xmlns="http://schemas.openxmlformats.org/drawingml/2006/wordprocessingDrawing">
            <extent cx="5800000" cy="3625000"/>
            <docPr id="12" name="SLE Rara · governante tensioni · Combo 1 · CLS · gradiente tension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3" name="image.png"/>
                    <cNvPicPr/>
                  </nvPicPr>
                  <blipFill>
                    <blip xmlns="http://schemas.openxmlformats.org/drawingml/2006/main" r:embed="img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Frequente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SLE Quasi permanente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tensionale determinabile: consultare gli esiti sotto riportati.</w:t>
      </w:r>
    </w:p>
    <w:p>
      <w:pPr>
        <w:pStyle w:val="Heading7"/>
      </w:pPr>
      <w:r>
        <w:t xml:space="preserve">Inviluppo tensioni e deformazioni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Verifiche a taglio</w:t>
      </w:r>
    </w:p>
    <w:p>
      <w:pPr>
        <w:pStyle w:val="Heading7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Nessun dato inserito o risultato disponibile.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14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5" name="image.png"/>
                    <cNvPicPr/>
                  </nvPicPr>
                  <blipFill>
                    <blip xmlns="http://schemas.openxmlformats.org/drawingml/2006/main" r:embed="img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bookmarkStart w:id="8" w:name="node1_2_2_1_2"/>
      <w:pPr>
        <w:pStyle w:val="Heading5"/>
      </w:pPr>
      <w:r>
        <w:t xml:space="preserve">1.2.2.1.2 Capacità verticale</w:t>
      </w:r>
      <w:bookmarkEnd w:id="8"/>
    </w:p>
    <w:p>
      <w:pPr>
        <w:pStyle w:val="Normal"/>
      </w:pPr>
      <w:r>
        <w:t xml:space="preserve">Dati condivisi: vedere 1.2.2.1 Pali — Geometria; 1.2.2.1 Pali — Terreno.</w:t>
      </w:r>
    </w:p>
    <w:p>
      <w:pPr>
        <w:pStyle w:val="Heading6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sottotipo palo battuto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Profilato d'acciaio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specifico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addensamento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tice"/>
      </w:pPr>
      <w:r>
        <w:t xml:space="preserve">Risultati non disponibili: Dati incompleti o calcolo non riuscito. Aprire la scheda per correggere gli input.</w:t>
      </w:r>
    </w:p>
    <w:p>
      <w:bookmarkStart w:id="9" w:name="node1_2_2_1_3"/>
      <w:pPr>
        <w:pStyle w:val="Heading5"/>
      </w:pPr>
      <w:r>
        <w:t xml:space="preserve">1.2.2.1.3 Capacità orizzontale</w:t>
      </w:r>
      <w:bookmarkEnd w:id="9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Materiali; 1.2.2.1 Pali — Terreno.</w:t>
      </w:r>
    </w:p>
    <w:p>
      <w:pPr>
        <w:pStyle w:val="Heading6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c.a.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Momento resistente [kNm]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passo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pile requirements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dissipative zone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axial force kn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x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moment y knm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apply minimum eccentricity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minimum eccentricity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materiale cls nome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432 kN; sondaggio governante 1; meccanismo Corto; My adottato = 1074,353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 kN; x=211,116 mm; fcd=17 MPa; fyd=391,304 MPa; As=7238,229 mm²; residuo N=-9,895E-13 kN; scarto mesh=5,952E-05.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min(254,1; 254,1) = 254,1 kN; criterio governante: Media / ξ3. Rd = η · Rk/γR = 195,5 kN. HEd = 100,0 kN. Verifica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Corto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Hu=432 kN; |M|max=665,108 kNm a z=2,309 m. Cerniere z [m]: [].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momento=0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F=864 kN a z=4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594,731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431,19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43,173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428,76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86,184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424,71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128,871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419,04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171,072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411,75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212,625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402,84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253,368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392,31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293,139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380,16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331,776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145,8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366,39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369,117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333,99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439,263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315,36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471,744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295,11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502,281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273,24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530,712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249,75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556,875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224,64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580,608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197,91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601,749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169,56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620,136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139,59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635,607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74,79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657,153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662,904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665,091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2,3094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374,123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665,1075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663,552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-74,25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658,125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-115,56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648,648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-158,49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634,959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-203,04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616,896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-249,21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594,297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-297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-346,41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534,843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518,4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-397,44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497,664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-450,09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455,301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-504,36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407,592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-560,25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354,375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-617,76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295,488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-676,89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230,769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-737,64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160,056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-800,01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83,187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p>
      <w:bookmarkStart w:id="10" w:name="node1_2_3"/>
      <w:pPr>
        <w:pStyle w:val="Heading3"/>
      </w:pPr>
      <w:r>
        <w:t xml:space="preserve">1.2.3 Sezione da completare</w:t>
      </w:r>
      <w:bookmarkEnd w:id="10"/>
    </w:p>
    <w:p>
      <w:pPr>
        <w:pStyle w:val="Normal"/>
      </w:pPr>
      <w:r>
        <w:t xml:space="preserve">Sezione senza schede.</w:t>
      </w:r>
    </w:p>
    <w:p>
      <w:bookmarkStart w:id="11" w:name="node1_3"/>
      <w:pPr>
        <w:pStyle w:val="Heading2"/>
      </w:pPr>
      <w:r>
        <w:t xml:space="preserve">1.3 Ramo indipendente</w:t>
      </w:r>
      <w:bookmarkEnd w:id="11"/>
    </w:p>
    <w:p>
      <w:pPr>
        <w:pStyle w:val="Heading3"/>
      </w:pPr>
      <w:r>
        <w:t xml:space="preserve">Terreno comuni</w:t>
      </w:r>
    </w:p>
    <w:p>
      <w:pPr>
        <w:pStyle w:val="Normal"/>
      </w:pPr>
      <w:r>
        <w:t xml:space="preserve">Riferimento: Ponte di prova › Ramo indipendente. Utilizzati da: 1.3.1 Micropalo verticale; 1.3.2 Micropalo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bookmarkStart w:id="12" w:name="node1_3_1"/>
      <w:pPr>
        <w:pStyle w:val="Heading3"/>
      </w:pPr>
      <w:r>
        <w:t xml:space="preserve">1.3.1 Micropalo verticale</w:t>
      </w:r>
      <w:bookmarkEnd w:id="12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micropalo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BD-VIGGIANI-2026-09-10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IGU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pressione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inizio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percentuale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Inclinazione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sottotipo palo battuto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Profilato d'acciaio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specifico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Sabbia media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Ghiaia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alpha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1,8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C. Viggiani, Fondazioni, §13.1.6, pp. 392–396; eq. 13.21, tab. 13.12–13.13, fig. 13.16–13.19. p_l = p_i; α maggiora il diametro. Interpolazione lineare degli abachi, senza estrapolazione.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Rs = Σπ (Db α) Δs s_aderenza. Coordinate lungo asse s; z=s cosθ. Il peso proprio è proiettato sull'asse. Rb è la percentuale selezionata di Rs.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 (asse s)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2074,2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217,9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1692,0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86,2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micropalo</w:t>
      </w:r>
    </w:p>
    <w:p>
      <w:r>
        <w:drawing>
          <inline xmlns="http://schemas.openxmlformats.org/drawingml/2006/wordprocessingDrawing">
            <extent cx="5800000" cy="3625000"/>
            <docPr id="19" name="Capacità portante del micro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0" name="image.png"/>
                    <cNvPicPr/>
                  </nvPicPr>
                  <blipFill>
                    <blip xmlns="http://schemas.openxmlformats.org/drawingml/2006/main" r:embed="img1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Abachi Bustamante–Doix del sondaggio 1</w:t>
      </w:r>
    </w:p>
    <w:p>
      <w:r>
        <w:drawing>
          <inline xmlns="http://schemas.openxmlformats.org/drawingml/2006/wordprocessingDrawing">
            <extent cx="5800000" cy="3625000"/>
            <docPr id="21" name="Abachi Bustamante–Doix del sondaggi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2" name="image.png"/>
                    <cNvPicPr/>
                  </nvPicPr>
                  <blipFill>
                    <blip xmlns="http://schemas.openxmlformats.org/drawingml/2006/main" r:embed="img1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23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4" name="image.png"/>
                    <cNvPicPr/>
                  </nvPicPr>
                  <blipFill>
                    <blip xmlns="http://schemas.openxmlformats.org/drawingml/2006/main" r:embed="img1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bookmarkStart w:id="13" w:name="node1_3_2"/>
      <w:pPr>
        <w:pStyle w:val="Heading3"/>
      </w:pPr>
      <w:r>
        <w:t xml:space="preserve">1.3.2 Micropalo orizzontale</w:t>
      </w:r>
      <w:bookmarkEnd w:id="13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modo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Catalogo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chs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diametro chs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139,7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spessore chs mm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fy chs mpa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355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gamma m0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CHS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Momento resistente [kNm]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passo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45,869 kN; sondaggio governante 1; meccanismo Lungo; My adottato = 46,971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N=0,0 kN; fyd=338,1 MPa; My(N)=47,0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min(27,0; 27,0) = 27,0 kN; criterio governante: Media / ξ3. Rd = η · Rk/γR = 20,8 kN. HEd = 100,0 kN. Verifica non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Lungo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Hu=45,869 kN; |M|max=46,972 kNm a z=1,536 m. Cerniere z [m]: [
  1.536065749824047
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momento=2,688E-06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F=91,737 kN a z=2,661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45,869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45,6742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4,5804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45,091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9,1219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11,664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44,119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13,5856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15,552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42,7582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17,9327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41,0086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22,1243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23,328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38,8702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26,1215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27,216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29,8854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31,104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33,427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33,3772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34,992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30,1222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36,5579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26,4286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39,3886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42,768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22,3462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41,8306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46,656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17,875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43,8449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50,544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13,015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45,3927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54,432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7,7662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46,435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58,32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46,933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1,5361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59,7222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46,9715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62,208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-3,8978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46,8477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66,096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-10,313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46,1405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69,984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-17,117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44,7722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73,872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-24,3098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42,7041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-31,8914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39,8973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81,648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-39,8618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36,3129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85,536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-48,221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31,912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89,424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-56,969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26,6557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93,312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-66,1058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20,5052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-75,6314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13,4216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101,088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-85,5458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5,366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103,4419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-91,7373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img1" Type="http://schemas.openxmlformats.org/officeDocument/2006/relationships/image" Target="media/img1.png" />
  <Relationship Id="img2" Type="http://schemas.openxmlformats.org/officeDocument/2006/relationships/image" Target="media/img2.png" />
  <Relationship Id="img3" Type="http://schemas.openxmlformats.org/officeDocument/2006/relationships/image" Target="media/img3.png" />
  <Relationship Id="img4" Type="http://schemas.openxmlformats.org/officeDocument/2006/relationships/image" Target="media/img4.png" />
  <Relationship Id="img5" Type="http://schemas.openxmlformats.org/officeDocument/2006/relationships/image" Target="media/img5.png" />
  <Relationship Id="img16" Type="http://schemas.openxmlformats.org/officeDocument/2006/relationships/image" Target="media/img16.png" />
  <Relationship Id="img17" Type="http://schemas.openxmlformats.org/officeDocument/2006/relationships/image" Target="media/img17.png" />
  <Relationship Id="img18" Type="http://schemas.openxmlformats.org/officeDocument/2006/relationships/image" Target="media/img18.png" /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