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Ponte di prova</w:t>
      </w:r>
    </w:p>
    <w:p>
      <w:pPr>
        <w:pStyle w:val="Normal"/>
      </w:pPr>
      <w:r>
        <w:t xml:space="preserve">ANTHEA · 24/09/2026 16:56</w:t>
      </w:r>
    </w:p>
    <w:p>
      <w:pPr>
        <w:pStyle w:val="Normal"/>
      </w:pPr>
      <w:r>
        <w:t xml:space="preserve">Il documento comprende 7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Notice"/>
      </w:pPr>
      <w:r>
        <w:t xml:space="preserve">Attenzione: il report contiene 3 proprietà in conflitto e 0 schede senza risultati completi. Leggere le segnalazioni seguenti.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section1">
        <w:r>
          <w:t>1 Ponte di prova</w:t>
        </w:r>
      </w:hyperlink>
    </w:p>
    <w:p>
      <w:pPr>
        <w:spacing w:after="45"/>
        <w:ind w:left="180"/>
      </w:pPr>
      <w:hyperlink w:anchor="section2">
        <w:r>
          <w:t>1.1 Calcestruzzo di progetto</w:t>
        </w:r>
      </w:hyperlink>
    </w:p>
    <w:p>
      <w:pPr>
        <w:spacing w:after="45"/>
        <w:ind w:left="180"/>
      </w:pPr>
      <w:hyperlink w:anchor="section3">
        <w:r>
          <w:t>1.2 Fondazioni</w:t>
        </w:r>
      </w:hyperlink>
    </w:p>
    <w:p>
      <w:pPr>
        <w:spacing w:after="45"/>
        <w:ind w:left="360"/>
      </w:pPr>
      <w:hyperlink w:anchor="section4">
        <w:r>
          <w:t>1.2.1 Acciaio pali</w:t>
        </w:r>
      </w:hyperlink>
    </w:p>
    <w:p>
      <w:pPr>
        <w:spacing w:after="45"/>
        <w:ind w:left="360"/>
      </w:pPr>
      <w:hyperlink w:anchor="section5">
        <w:r>
          <w:t>1.2.2 Spalla A</w:t>
        </w:r>
      </w:hyperlink>
    </w:p>
    <w:p>
      <w:pPr>
        <w:spacing w:after="45"/>
        <w:ind w:left="540"/>
      </w:pPr>
      <w:hyperlink w:anchor="section6">
        <w:r>
          <w:t>1.2.2.1 Pali</w:t>
        </w:r>
      </w:hyperlink>
    </w:p>
    <w:p>
      <w:pPr>
        <w:spacing w:after="45"/>
        <w:ind w:left="720"/>
      </w:pPr>
      <w:hyperlink w:anchor="section7">
        <w:r>
          <w:t>1.2.2.1.1 Verifica sezione</w:t>
        </w:r>
      </w:hyperlink>
    </w:p>
    <w:p>
      <w:pPr>
        <w:spacing w:after="45"/>
        <w:ind w:left="720"/>
      </w:pPr>
      <w:hyperlink w:anchor="section8">
        <w:r>
          <w:t>1.2.2.1.2 Capacità verticale</w:t>
        </w:r>
      </w:hyperlink>
    </w:p>
    <w:p>
      <w:pPr>
        <w:spacing w:after="45"/>
        <w:ind w:left="720"/>
      </w:pPr>
      <w:hyperlink w:anchor="section9">
        <w:r>
          <w:t>1.2.2.1.3 Capacità orizzontale</w:t>
        </w:r>
      </w:hyperlink>
    </w:p>
    <w:p>
      <w:pPr>
        <w:spacing w:after="45"/>
        <w:ind w:left="360"/>
      </w:pPr>
      <w:hyperlink w:anchor="section10">
        <w:r>
          <w:t>1.2.3 Sezione da completare</w:t>
        </w:r>
      </w:hyperlink>
    </w:p>
    <w:p>
      <w:pPr>
        <w:spacing w:after="45"/>
        <w:ind w:left="180"/>
      </w:pPr>
      <w:hyperlink w:anchor="section11">
        <w:r>
          <w:t>1.3 Ramo indipendente</w:t>
        </w:r>
      </w:hyperlink>
    </w:p>
    <w:p>
      <w:pPr>
        <w:spacing w:after="45"/>
        <w:ind w:left="360"/>
      </w:pPr>
      <w:hyperlink w:anchor="section12">
        <w:r>
          <w:t>1.3.1 Micropalo verticale</w:t>
        </w:r>
      </w:hyperlink>
    </w:p>
    <w:p>
      <w:pPr>
        <w:spacing w:after="45"/>
        <w:ind w:left="360"/>
      </w:pPr>
      <w:hyperlink w:anchor="section13">
        <w:r>
          <w:t>1.3.2 Micropalo orizzontale</w:t>
        </w:r>
      </w:hyperlink>
    </w:p>
    <w:p>
      <w:pPr>
        <w:pStyle w:val="Heading1"/>
      </w:pPr>
      <w:r>
        <w:t xml:space="preserve">Conflitti tra i fogli</w:t>
      </w:r>
    </w:p>
    <w:p>
      <w:pPr>
        <w:pStyle w:val="Normal"/>
      </w:pPr>
      <w:r>
        <w:t xml:space="preserve">I valori discordanti sono conservati nei rispettivi fogli e non vengono unificati nel report.</w:t>
      </w:r>
    </w:p>
    <w:p>
      <w:pPr>
        <w:pStyle w:val="Heading2"/>
      </w:pPr>
      <w:r>
        <w:t xml:space="preserve">Diametro perforazione [mm]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Lunghezza [m]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CHS · Profilo tubolare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bookmarkStart w:id="1" w:name="section1"/>
      <w:r>
        <w:t xml:space="preserve">1 Ponte di prova</w:t>
      </w:r>
      <w:bookmarkEnd w:id="1"/>
    </w:p>
    <w:p>
      <w:pPr>
        <w:pStyle w:val="Heading2"/>
      </w:pPr>
      <w:r>
        <w:t xml:space="preserve">Materiali comuni</w:t>
      </w:r>
    </w:p>
    <w:p>
      <w:pPr>
        <w:pStyle w:val="Normal"/>
      </w:pPr>
      <w:r>
        <w:t xml:space="preserve">Riferimento: Ponte di prova. Utilizzati da: 1.1 Calcestruzzo di progetto;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CLS · fck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di esposizione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XC1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bookmarkStart w:id="2" w:name="section2"/>
      <w:r>
        <w:t xml:space="preserve">1.1 Calcestruzzo di progetto</w:t>
      </w:r>
      <w:bookmarkEnd w:id="2"/>
    </w:p>
    <w:p>
      <w:pPr>
        <w:pStyle w:val="Normal"/>
      </w:pPr>
      <w:r>
        <w:t xml:space="preserve">Dati condivisi: vedere 1 Ponte di prova — Materiali.</w:t>
      </w:r>
    </w:p>
    <w:p>
      <w:pPr>
        <w:pStyle w:val="Heading3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della barra di riferimento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Dimensione massima aggregato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di trazione αct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parziale γc per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Tipo di elemento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Trave / pilastro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Criterio del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Circ. 2019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Vita utile di progetto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 anni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Controllo di esecuzione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Ordinario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Tolleranza di posa Δcdev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Superficie di getto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Casseratura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Strato per abrasione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Consistenza al getto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Da definire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Famiglia del cemento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CEM 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del cemento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iniziale del cemento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Condizioni di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Altre · η₁ = 0,7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Riduzione EC2 per classe di resistenza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Riduzione EC2 per geometria a piastra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Controllo speciale della produzione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Superficie irregolare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Controllo qualità dei copriferri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cubica (classe) · Rck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compressione · fcm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trazione · fctm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5% · fctk,0.05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2,03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95% · fctk,0.95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3,77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secante · Ecm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32.836,57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al picco · parabola-rettangolo · εc2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· parabola-rettangolo · εcu2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di Poisson · ν [—]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fbd = 2,13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φ = 16 mm  ·  η₁ = 0,70  ·  η₂ = 1,00
fctk,0.05 per aderenza = 2,03 MPa
fctd = 1,35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nominale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cnom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Circolare · ambiente ordinario
XC1 · Trave / pilastro
Cmin (fck) = 25 MPa · C0 (fck) = 35 MPa
Minimo tabellare = 25 mm
Vita utile: +0 mm; classe &lt; Cmin: +0 mm
Controllo dei copriferri: −0 mm
Minimo per durabilità = 25 mm
Minimo per aderenza = 16 mm
cmin = max(durabilità; aderenza; 10) + superficie/abrasione = 25 mm
cnom = cmin + Δcdev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Applicabilità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2018 tab. 4.1.III; Circolare 7/2019 §C4.1.6.1.3 e tab. C4.1.IV, barre ordinarie. Requisiti integrativi di aderenza, Dmax, superficie, abrasione e getto su terreno: EC2 §4.4.1. Verifiche al fuoco separate. Copriferro riferito all'armatura più vicina, staffe comprese.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A/C massimo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Dosaggio minimo di cemento [kg/m³]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Contenuto minimo di aria [%]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Non prescritto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Indicazioni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0,40: proposta per armatura ordinaria dagli esempi ATECAP, pp. 43–50; non è una classe dedotta dall’esposizione e va confermata nella prescrizione.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Riferimenti della composizione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ATECAP 2020, p. 19, prospetto 5 UNI 11104. Per esposizioni concomitanti: il minore A/C massimo e il maggiore dosaggio minimo. Valori senza applicazione del concetto k per le aggiunte (nota d).
Esposizioni: XC1. Classe minima: C25/30.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bookmarkStart w:id="3" w:name="section3"/>
      <w:r>
        <w:t xml:space="preserve">1.2 Fondazioni</w:t>
      </w:r>
      <w:bookmarkEnd w:id="3"/>
    </w:p>
    <w:p>
      <w:pPr>
        <w:pStyle w:val="Heading3"/>
      </w:pPr>
      <w:r>
        <w:t xml:space="preserve">Materiali comuni</w:t>
      </w:r>
    </w:p>
    <w:p>
      <w:pPr>
        <w:pStyle w:val="Normal"/>
      </w:pPr>
      <w:r>
        <w:t xml:space="preserve">Riferimento: Ponte di prova › Fondazioni. Utilizzati da: 1.2.1 Acciaio pali;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Nome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Snervamento acciaio fyk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Es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fu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εu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Elastoplastico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4" w:name="section4"/>
      <w:r>
        <w:t xml:space="preserve">1.2.1 Acciaio pali</w:t>
      </w:r>
      <w:bookmarkEnd w:id="4"/>
    </w:p>
    <w:p>
      <w:pPr>
        <w:pStyle w:val="Normal"/>
      </w:pPr>
      <w:r>
        <w:t xml:space="preserve">Dati condivisi: vedere 1.2 Fondazioni — Materiali.</w:t>
      </w:r>
    </w:p>
    <w:p>
      <w:pPr>
        <w:pStyle w:val="Heading4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di progetto fyd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391,30434783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εyd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1,95652174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fu / fyk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5" w:name="section5"/>
      <w:r>
        <w:t xml:space="preserve">1.2.2 Spalla A</w:t>
      </w:r>
      <w:bookmarkEnd w:id="5"/>
    </w:p>
    <w:p>
      <w:pPr>
        <w:pStyle w:val="Heading4"/>
      </w:pPr>
      <w:bookmarkStart w:id="6" w:name="section6"/>
      <w:r>
        <w:t xml:space="preserve">1.2.2.1 Pali</w:t>
      </w:r>
      <w:bookmarkEnd w:id="6"/>
    </w:p>
    <w:p>
      <w:pPr>
        <w:pStyle w:val="Heading5"/>
      </w:pPr>
      <w:r>
        <w:t xml:space="preserve">Geometria comune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comune</w:t>
      </w:r>
    </w:p>
    <w:p>
      <w:pPr>
        <w:pStyle w:val="Normal"/>
      </w:pPr>
      <w:r>
        <w:t xml:space="preserve">Riferimento: Ponte di prova › Fondazioni › Spalla A › Pali. Utilizzati da: 1.2.2.1.1 Verifica sezione;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Armature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Numero barre longitudinali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barre longitudinali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Passo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Materiali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αcc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comune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Dati comuni del terreno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bookmarkStart w:id="7" w:name="section7"/>
      <w:r>
        <w:t xml:space="preserve">1.2.2.1.1 Verifica sezione</w:t>
      </w:r>
      <w:bookmarkEnd w:id="7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Materiali.</w:t>
      </w:r>
    </w:p>
    <w:p>
      <w:pPr>
        <w:pStyle w:val="Heading6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Parabola-rettangolo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Riduzione per getto sottile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tipo staffa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interni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Schema interno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Bracci paralleli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Rotazione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Requisiti specifici dei pali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Zona dissipativa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Nome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Taglio: modello NTC per sezioni rettangolari/a T non precompresse; torsione, interazione biassiale e gerarchia sismica escluse. Circolare, spirale e generica richiedono un modello dedicato. Fessurazione: limiti di applicabilità riportati per combinazione; nessun esito sostitutivo nei casi non supportati.</w:t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6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7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Coefficienti normativi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Coefficiente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Predefinito DLL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Applicato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Modifica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αcc · compressione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αct · trazione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CLS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armature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trefoli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γcE · modulo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γF · fibre (predisposizione)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kε · deformazione acciaio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QP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σs / fyk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σp / fpyk (DLL)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 coefficienti accidentali/FRC esposti non attivano automaticamente verifiche accidentali o materiali fibrorinforzati. L’eventuale fattore NTC 0,80 per getti sottili è applicato separatamente ai parametri pertinenti.</w:t>
      </w:r>
    </w:p>
    <w:p>
      <w:pPr>
        <w:pStyle w:val="Heading6"/>
      </w:pPr>
      <w:r>
        <w:t xml:space="preserve">Sollecitazioni</w:t>
      </w:r>
    </w:p>
    <w:p>
      <w:pPr>
        <w:pStyle w:val="Heading7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Quasi permanente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Taglio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6"/>
      </w:pPr>
      <w:r>
        <w:t xml:space="preserve">Verifiche dominio 3D</w:t>
      </w:r>
    </w:p>
    <w:p>
      <w:pPr>
        <w:pStyle w:val="Heading7"/>
      </w:pPr>
      <w:r>
        <w:t xml:space="preserve">Opzioni dominio 3D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32,00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-2500,37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1499,91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749,96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0,33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-2500,23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1234,58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617,29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0,40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Dominio 3D Plastico in vista isometrica con filtri e livelli correnti</w:t>
      </w:r>
    </w:p>
    <w:p>
      <w:r>
        <w:drawing>
          <inline xmlns="http://schemas.openxmlformats.org/drawingml/2006/wordprocessingDrawing">
            <extent cx="5800000" cy="3625000"/>
            <docPr id="8" name="Dominio 3D Plastico in vista isometrica con filtri e livelli corrent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9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Verifiche dominio 2D</w:t>
      </w:r>
    </w:p>
    <w:p>
      <w:pPr>
        <w:pStyle w:val="Heading7"/>
      </w:pPr>
      <w:r>
        <w:t xml:space="preserve">Opzioni dominio 2D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Mx–My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piano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-1000,00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θ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64,00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Plastico · Mx–My, N = -1000,00 kN nella configurazione grafica corrente</w:t>
      </w:r>
    </w:p>
    <w:p>
      <w:r>
        <w:drawing>
          <inline xmlns="http://schemas.openxmlformats.org/drawingml/2006/wordprocessingDrawing">
            <extent cx="5800000" cy="3625000"/>
            <docPr id="10" name="Plastico · Mx–My, N = -1000,00 kN nella configurazione grafica corrent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1" name="image.png"/>
                    <cNvPicPr/>
                  </nvPicPr>
                  <blipFill>
                    <blip xmlns="http://schemas.openxmlformats.org/drawingml/2006/main" r:embed="img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Rara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1300"/>
        <w:gridCol w:w="1300"/>
        <w:gridCol w:w="1300"/>
        <w:gridCol w:w="312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σc,min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|σs|max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ησ [-]</w:t>
            </w:r>
          </w:p>
        </w:tc>
        <w:tc>
          <w:tcPr>
            <w:tcW w:w="3120" w:type="dxa"/>
            <w:vAlign w:val="center"/>
            <w:shd w:fill="E8EFF7"/>
          </w:tcPr>
          <w:p>
            <w:pPr>
              <w:pStyle w:val="TableHeader"/>
            </w:pPr>
            <w:r>
              <w:t xml:space="preserve">Esito tensioni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48,08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0,50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Entro limiti tensionali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Inviluppo tensioni e deformazioni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4118"/>
        <w:gridCol w:w="1872"/>
        <w:gridCol w:w="3370"/>
      </w:tblGrid>
      <w:tr>
        <w:trPr>
          <w:cantSplit/>
          <w:tblHeader/>
        </w:trPr>
        <w:tc>
          <w:tcPr>
            <w:tcW w:w="4118" w:type="dxa"/>
            <w:vAlign w:val="center"/>
            <w:shd w:fill="E8EFF7"/>
          </w:tcPr>
          <w:p>
            <w:pPr>
              <w:pStyle w:val="TableHeader"/>
            </w:pPr>
            <w:r>
              <w:t xml:space="preserve">Grandezza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Estremo</w:t>
            </w:r>
          </w:p>
        </w:tc>
        <w:tc>
          <w:tcPr>
            <w:tcW w:w="337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 di origine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-48,08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15,19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-0,24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Caption"/>
      </w:pPr>
      <w:r>
        <w:t xml:space="preserve">SLE Rara · governante tensioni · Combo 1 · CLS · gradiente tensioni</w:t>
      </w:r>
    </w:p>
    <w:p>
      <w:r>
        <w:drawing>
          <inline xmlns="http://schemas.openxmlformats.org/drawingml/2006/wordprocessingDrawing">
            <extent cx="5800000" cy="3625000"/>
            <docPr id="12" name="SLE Rara · governante tensioni · Combo 1 · CLS · gradiente tension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3" name="image.png"/>
                    <cNvPicPr/>
                  </nvPicPr>
                  <blipFill>
                    <blip xmlns="http://schemas.openxmlformats.org/drawingml/2006/main" r:embed="img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Frequente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SLE Quasi permanente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tensionale determinabile: consultare gli esiti sotto riportati.</w:t>
      </w:r>
    </w:p>
    <w:p>
      <w:pPr>
        <w:pStyle w:val="Heading7"/>
      </w:pPr>
      <w:r>
        <w:t xml:space="preserve">Inviluppo tensioni e deformazioni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Verifiche a taglio</w:t>
      </w:r>
    </w:p>
    <w:p>
      <w:pPr>
        <w:pStyle w:val="Heading7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Nessun dato inserito o risultato disponibile.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14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5" name="image.png"/>
                    <cNvPicPr/>
                  </nvPicPr>
                  <blipFill>
                    <blip xmlns="http://schemas.openxmlformats.org/drawingml/2006/main" r:embed="img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5"/>
      </w:pPr>
      <w:bookmarkStart w:id="8" w:name="section8"/>
      <w:r>
        <w:t xml:space="preserve">1.2.2.1.2 Capacità verticale</w:t>
      </w:r>
      <w:bookmarkEnd w:id="8"/>
    </w:p>
    <w:p>
      <w:pPr>
        <w:pStyle w:val="Normal"/>
      </w:pPr>
      <w:r>
        <w:t xml:space="preserve">Dati condivisi: vedere 1.2.2.1 Pali — Geometria; 1.2.2.1 Pali — Terreno.</w:t>
      </w:r>
    </w:p>
    <w:p>
      <w:pPr>
        <w:pStyle w:val="Heading6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specifico del palo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di compressione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addensamento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Denso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Coefficiente Nc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laterale attiva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</w:tbl>
    <w:p>
      <w:pPr>
        <w:pStyle w:val="Normal"/>
      </w:pPr>
      <w: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Efficienza — risultati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errore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metodo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Nessuna riduzione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eta_compressione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eta_trazione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numero_pali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Coefficienti applicati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ξ3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ξ4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γs,c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1,15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γs,t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1,25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γb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sfavorevole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Metodo</w:t>
      </w:r>
    </w:p>
    <w:p>
      <w:pPr>
        <w:spacing w:after="80"/>
      </w:pPr>
      <w:r>
        <w:rPr>
          <w:rFonts w:ascii="Calibri" w:hAnsi="Calibri"/>
          <w:sz w:val="19"/>
        </w:rPr>
        <w:t xml:space="preserve">Parametrizzata NQ-2026-09-09: D ≤ 0,80 m, Nq = 10^(a+b·φ), b=1/(φ100-φ10), a=1-b·φ10. D &gt; 0,80 m: Nq* da cubiche raccordate a 34° e 38°, adattate alla figura fornita. φ in gradi, senza riduzioni. Per una quota z si usa z/D; alla punta finale z=L. Tra le curve: t=ln(r/r1)/ln(r2/r1), interpolazione geometrica di Nq per i pali medi e aritmetica di Nq* per i grandi. Questa regola tra L/D è una scelta numerica mantenuta dal metodo precedente, non desunta dalla figura. Fuori dagli intervalli visibili si usa il bordo, con segnalazione; i valori limitati non costituiscono una validazione fuori campo.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Criteri e unità</w:t>
      </w:r>
    </w:p>
    <w:p>
      <w:pPr>
        <w:spacing w:after="80"/>
      </w:pPr>
      <w:r>
        <w:rPr>
          <w:rFonts w:ascii="Calibri" w:hAnsi="Calibri"/>
          <w:sz w:val="19"/>
        </w:rPr>
        <w:t xml:space="preserve">Lunghezze m; forze kN; tensioni e aderenze kPa; pesi specifici kN/m³. I valori arrotondati sono solo di presentazione. I minimi dei contributi laterale e di punta sono valutati separatamente.</w:t>
      </w:r>
    </w:p>
    <w:p>
      <w:pPr>
        <w:spacing w:after="80"/>
      </w:pPr>
      <w:r>
        <w:rPr>
          <w:rFonts w:ascii="Calibri" w:hAnsi="Calibri"/>
          <w:sz w:val="19"/>
        </w:rPr>
        <w:t xml:space="preserve">Rd,c = ηc min[Rb,media/(ξ3 γb) + Rs,media/(ξ3 γs,c); Rb,min/(ξ4 γb) + Rs,min/(ξ4 γs,c)]. Rd,t = ηt min[Rs,media/(ξ3 γs,t); Rs,min/(ξ4 γs,t)].</w:t>
      </w:r>
    </w:p>
    <w:p>
      <w:pPr>
        <w:spacing w:after="80"/>
      </w:pPr>
      <w:r>
        <w:rPr>
          <w:rFonts w:ascii="Calibri" w:hAnsi="Calibri"/>
          <w:sz w:val="19"/>
        </w:rPr>
        <w:t xml:space="preserve">Rd drenata: Rb,calc = Ab σ′v Nq; Rs = ΣπD Δz (c′ + k μ σ′media). Non drenata coesiva sotto falda: τ=α Cu e Rb,calc = Ab (Nc Cu + σv,L totale), formulazione lorda richiesta il 16/09/2026. Sopra falda si usa il ramo drenato. La sottospinta agisce separatamente sul peso nelle azioni.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Resistenze di progetto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Verifica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Quota [m]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Rd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Esito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drenante 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517,4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202,1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drenante 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49,2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Azione non inserita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non drenante 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517,4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202,1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non drenante 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49,2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Azione non inserita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Capacità portante del palo</w:t>
      </w:r>
    </w:p>
    <w:p>
      <w:r>
        <w:drawing>
          <inline xmlns="http://schemas.openxmlformats.org/drawingml/2006/wordprocessingDrawing">
            <extent cx="5800000" cy="3625000"/>
            <docPr id="19" name="Capacità portante del pal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0" name="image.png"/>
                    <cNvPicPr/>
                  </nvPicPr>
                  <blipFill>
                    <blip xmlns="http://schemas.openxmlformats.org/drawingml/2006/main" r:embed="img16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Nq parametrizzato</w:t>
      </w:r>
    </w:p>
    <w:p>
      <w:r>
        <w:drawing>
          <inline xmlns="http://schemas.openxmlformats.org/drawingml/2006/wordprocessingDrawing">
            <extent cx="5800000" cy="3625000"/>
            <docPr id="21" name="Nq parametrizz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2" name="image.png"/>
                    <cNvPicPr/>
                  </nvPicPr>
                  <blipFill>
                    <blip xmlns="http://schemas.openxmlformats.org/drawingml/2006/main" r:embed="img17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Profilo stratigrafico</w:t>
      </w:r>
    </w:p>
    <w:p>
      <w:r>
        <w:drawing>
          <inline xmlns="http://schemas.openxmlformats.org/drawingml/2006/wordprocessingDrawing">
            <extent cx="5800000" cy="3625000"/>
            <docPr id="23" name="Profilo stratigrafic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4" name="image.png"/>
                    <cNvPicPr/>
                  </nvPicPr>
                  <blipFill>
                    <blip xmlns="http://schemas.openxmlformats.org/drawingml/2006/main" r:embed="img18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5"/>
      </w:pPr>
      <w:bookmarkStart w:id="9" w:name="section9"/>
      <w:r>
        <w:t xml:space="preserve">1.2.2.1.3 Capacità orizzontale</w:t>
      </w:r>
      <w:bookmarkEnd w:id="9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Materiali; 1.2.2.1 Pali — Terreno.</w:t>
      </w:r>
    </w:p>
    <w:p>
      <w:pPr>
        <w:pStyle w:val="Heading6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c.a.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Passo dei diagrammi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Requisiti specifici dei pali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Zona dissipativa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Nome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432 kN; sondaggio governante 1; meccanismo Corto; My adottato = 1074,353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 kN; x=211,116 mm; fcd=17 MPa; fyd=391,304 MPa; As=7238,229 mm²; residuo N=-9,895E-13 kN; scarto mesh=5,952E-05.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min(254,1; 254,1) = 254,1 kN; criterio governante: Media / ξ3. Rd = η · Rk/γR = 195,5 kN. HEd = 100,0 kN. Verifica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Corto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Hu=432 kN; |M|max=665,108 kNm a z=2,309 m. Cerniere z [m]: [].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momento=0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F=864 kN a z=4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594,731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431,19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43,173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428,76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86,184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424,71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128,871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419,04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171,072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411,75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212,625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402,84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253,368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392,31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293,139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380,16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331,776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145,8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366,39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369,117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333,99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439,263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315,36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471,744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295,11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502,281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273,24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530,712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249,75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556,875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224,64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580,608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197,91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601,749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169,56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620,136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139,59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635,607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74,79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657,153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662,904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665,091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2,3094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374,123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665,1075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663,552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-74,25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658,125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-115,56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648,648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-158,49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634,959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-203,04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616,896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-249,21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594,297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-297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-346,41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534,843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518,4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-397,44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497,664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-450,09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455,301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-504,36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407,592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-560,25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354,375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-617,76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295,488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-676,89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230,769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-737,64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160,056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-800,01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83,187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p>
      <w:pPr>
        <w:pStyle w:val="Heading3"/>
      </w:pPr>
      <w:bookmarkStart w:id="10" w:name="section10"/>
      <w:r>
        <w:t xml:space="preserve">1.2.3 Sezione da completare</w:t>
      </w:r>
      <w:bookmarkEnd w:id="10"/>
    </w:p>
    <w:p>
      <w:pPr>
        <w:pStyle w:val="Normal"/>
      </w:pPr>
      <w:r>
        <w:t xml:space="preserve">Sezione senza schede.</w:t>
      </w:r>
    </w:p>
    <w:p>
      <w:pPr>
        <w:pStyle w:val="Heading2"/>
      </w:pPr>
      <w:bookmarkStart w:id="11" w:name="section11"/>
      <w:r>
        <w:t xml:space="preserve">1.3 Ramo indipendente</w:t>
      </w:r>
      <w:bookmarkEnd w:id="11"/>
    </w:p>
    <w:p>
      <w:pPr>
        <w:pStyle w:val="Heading3"/>
      </w:pPr>
      <w:r>
        <w:t xml:space="preserve">Dati comuni del terreno</w:t>
      </w:r>
    </w:p>
    <w:p>
      <w:pPr>
        <w:pStyle w:val="Normal"/>
      </w:pPr>
      <w:r>
        <w:t xml:space="preserve">Riferimento: Ponte di prova › Ramo indipendente. Utilizzati da: 1.3.1 Micropalo verticale; 1.3.2 Micropalo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12" w:name="section12"/>
      <w:r>
        <w:t xml:space="preserve">1.3.1 Micropalo verticale</w:t>
      </w:r>
      <w:bookmarkEnd w:id="12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tubolare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metodo micropalo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BD-VIGGIANI-2026-09-10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tipo iniezione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IGU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Pressione di iniezione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Inizio aderenza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considera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percentuale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di compressione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di trazione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Inclinazione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specifico del palo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Sabbia media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Coefficiente α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Ghiaia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Coefficiente α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1,8</w:t>
            </w:r>
          </w:p>
        </w:tc>
      </w:tr>
    </w:tbl>
    <w:p>
      <w:pPr>
        <w:pStyle w:val="Normal"/>
      </w:pPr>
      <w: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Efficienza — risultati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errore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metodo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Nessuna riduzione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eta_compressione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eta_trazione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numero_pali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Coefficienti applicati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ξ3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ξ4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γs,c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1,15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γs,t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1,25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γb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sfavorevole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Metodo</w:t>
      </w:r>
    </w:p>
    <w:p>
      <w:pPr>
        <w:spacing w:after="80"/>
      </w:pPr>
      <w:r>
        <w:rPr>
          <w:rFonts w:ascii="Calibri" w:hAnsi="Calibri"/>
          <w:sz w:val="19"/>
        </w:rPr>
        <w:t xml:space="preserve">C. Viggiani, Fondazioni, §13.1.6, pp. 392–396; eq. 13.21, tab. 13.12–13.13, fig. 13.16–13.19. p_l = p_i; α maggiora il diametro. Interpolazione lineare degli abachi, senza estrapolazione.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Criteri e unità</w:t>
      </w:r>
    </w:p>
    <w:p>
      <w:pPr>
        <w:spacing w:after="80"/>
      </w:pPr>
      <w:r>
        <w:rPr>
          <w:rFonts w:ascii="Calibri" w:hAnsi="Calibri"/>
          <w:sz w:val="19"/>
        </w:rPr>
        <w:t xml:space="preserve">Lunghezze m; forze kN; tensioni e aderenze kPa; pesi specifici kN/m³. I valori arrotondati sono solo di presentazione. I minimi dei contributi laterale e di punta sono valutati separatamente.</w:t>
      </w:r>
    </w:p>
    <w:p>
      <w:pPr>
        <w:spacing w:after="80"/>
      </w:pPr>
      <w:r>
        <w:rPr>
          <w:rFonts w:ascii="Calibri" w:hAnsi="Calibri"/>
          <w:sz w:val="19"/>
        </w:rPr>
        <w:t xml:space="preserve">Rd,c = ηc min[Rb,media/(ξ3 γb) + Rs,media/(ξ3 γs,c); Rb,min/(ξ4 γb) + Rs,min/(ξ4 γs,c)]. Rd,t = ηt min[Rs,media/(ξ3 γs,t); Rs,min/(ξ4 γs,t)].</w:t>
      </w:r>
    </w:p>
    <w:p>
      <w:pPr>
        <w:spacing w:after="80"/>
      </w:pPr>
      <w:r>
        <w:rPr>
          <w:rFonts w:ascii="Calibri" w:hAnsi="Calibri"/>
          <w:sz w:val="19"/>
        </w:rPr>
        <w:t xml:space="preserve">Rs = Σπ (Db α) Δs s_aderenza. Coordinate lungo asse s; z=s cosθ. Il peso proprio è proiettato sull'asse. Rb è la percentuale selezionata di Rs.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Resistenze di progetto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Verifica (asse s)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Quota [m]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Rd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Esito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2074,2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217,9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1692,0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86,2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Capacità portante del micropalo</w:t>
      </w:r>
    </w:p>
    <w:p>
      <w:r>
        <w:drawing>
          <inline xmlns="http://schemas.openxmlformats.org/drawingml/2006/wordprocessingDrawing">
            <extent cx="5800000" cy="3625000"/>
            <docPr id="28" name="Capacità portante del micropal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9" name="image.png"/>
                    <cNvPicPr/>
                  </nvPicPr>
                  <blipFill>
                    <blip xmlns="http://schemas.openxmlformats.org/drawingml/2006/main" r:embed="img2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Abachi Bustamante–Doix del sondaggio 1</w:t>
      </w:r>
    </w:p>
    <w:p>
      <w:r>
        <w:drawing>
          <inline xmlns="http://schemas.openxmlformats.org/drawingml/2006/wordprocessingDrawing">
            <extent cx="5800000" cy="3625000"/>
            <docPr id="30" name="Abachi Bustamante–Doix del sondaggi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1" name="image.png"/>
                    <cNvPicPr/>
                  </nvPicPr>
                  <blipFill>
                    <blip xmlns="http://schemas.openxmlformats.org/drawingml/2006/main" r:embed="img26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Profilo stratigrafico</w:t>
      </w:r>
    </w:p>
    <w:p>
      <w:r>
        <w:drawing>
          <inline xmlns="http://schemas.openxmlformats.org/drawingml/2006/wordprocessingDrawing">
            <extent cx="5800000" cy="3625000"/>
            <docPr id="32" name="Profilo stratigrafic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3" name="image.png"/>
                    <cNvPicPr/>
                  </nvPicPr>
                  <blipFill>
                    <blip xmlns="http://schemas.openxmlformats.org/drawingml/2006/main" r:embed="img27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3"/>
      </w:pPr>
      <w:bookmarkStart w:id="13" w:name="section13"/>
      <w:r>
        <w:t xml:space="preserve">1.3.2 Micropalo orizzontale</w:t>
      </w:r>
      <w:bookmarkEnd w:id="13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Modalità di definizione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Catalogo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tubolare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Diametro esterno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139,7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Spessore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Snervamento fy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355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Coefficiente γM0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CHS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Passo dei diagrammi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45,869 kN; sondaggio governante 1; meccanismo Lungo; My adottato = 46,971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N=0,0 kN; fyd=338,1 MPa; My(N)=47,0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min(27,0; 27,0) = 27,0 kN; criterio governante: Media / ξ3. Rd = η · Rk/γR = 20,8 kN. HEd = 100,0 kN. Verifica non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Lungo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Hu=45,869 kN; |M|max=46,972 kNm a z=1,536 m. Cerniere z [m]: [
  1.536065749824047
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momento=2,688E-06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F=91,737 kN a z=2,661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45,869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45,6742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4,5804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45,091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9,1219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11,664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44,119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13,5856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15,552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42,7582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17,9327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41,0086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22,1243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23,328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38,8702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26,1215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27,216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29,8854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31,104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33,427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33,3772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34,992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30,1222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36,5579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26,4286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39,3886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42,768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22,3462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41,8306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46,656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17,875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43,8449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50,544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13,015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45,3927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54,432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7,7662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46,435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58,32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46,933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1,5361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59,7222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46,9715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62,208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-3,8978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46,8477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66,096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-10,313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46,1405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69,984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-17,117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44,7722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73,872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-24,3098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42,7041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-31,8914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39,8973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81,648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-39,8618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36,3129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85,536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-48,221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31,912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89,424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-56,969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26,6557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93,312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-66,1058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20,5052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-75,6314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13,4216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101,088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-85,5458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5,366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103,4419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-91,7373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img1" Type="http://schemas.openxmlformats.org/officeDocument/2006/relationships/image" Target="media/img1.png" />
  <Relationship Id="img2" Type="http://schemas.openxmlformats.org/officeDocument/2006/relationships/image" Target="media/img2.png" />
  <Relationship Id="img3" Type="http://schemas.openxmlformats.org/officeDocument/2006/relationships/image" Target="media/img3.png" />
  <Relationship Id="img4" Type="http://schemas.openxmlformats.org/officeDocument/2006/relationships/image" Target="media/img4.png" />
  <Relationship Id="img5" Type="http://schemas.openxmlformats.org/officeDocument/2006/relationships/image" Target="media/img5.png" />
  <Relationship Id="img16" Type="http://schemas.openxmlformats.org/officeDocument/2006/relationships/image" Target="media/img16.png" />
  <Relationship Id="img17" Type="http://schemas.openxmlformats.org/officeDocument/2006/relationships/image" Target="media/img17.png" />
  <Relationship Id="img18" Type="http://schemas.openxmlformats.org/officeDocument/2006/relationships/image" Target="media/img18.png" />
  <Relationship Id="img25" Type="http://schemas.openxmlformats.org/officeDocument/2006/relationships/image" Target="media/img25.png" />
  <Relationship Id="img26" Type="http://schemas.openxmlformats.org/officeDocument/2006/relationships/image" Target="media/img26.png" />
  <Relationship Id="img27" Type="http://schemas.openxmlformats.org/officeDocument/2006/relationships/image" Target="media/img27.png" /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