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08-sisma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Questo modello locale non include inerzia del terreno di fondazione e spostamenti. La stabilità globale sismica richiede l’attivazione del calcolo Bishop separato, con il proprio profilo e i propri coefficienti pseudostatici.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0.3704141024419842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0.22544015234127565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0.3498033874578238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0.2068883405909241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0.2883562262861097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0.15484386388740615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0.2467124785292951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0.12254248259865645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3,346–22,304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22,304–25,147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3,265–20,307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20,307–22,863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4,68–24,117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24,117–27,032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4,617–21,18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21,18–23,665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kh=0,1064; |kv|=0,0532.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Pianeggiante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 / 74,22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 / 268,058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49,655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-0,08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0–18,958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3,346–22,304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18,958–21,801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22,304–25,147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0–17,042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3,265–20,307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17,042–19,599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20,307–22,863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0–19,436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4,68–24,117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19,436–22,352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24,117–27,032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0–16,564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4,617–21,18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16,564–19,048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21,18–23,665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66,252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152,174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80,356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74,437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147,899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306,801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90,876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81,751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275,806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76,377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113,768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97,547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268,058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89,717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46,195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50,519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-49,655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-46,055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-47,443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-43,479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-64,255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50,231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-53,408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1593/2689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1704/2839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1739/2854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1,243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1685/2761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D=117,215 kN/m, ΣR=144,518 kN/m, iterazioni 26, residuo -7.856E-08. Superfici geometricamente ammesse 1593;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ΣR=168,195 kN/m, iterazioni 29, residuo -3.914E-08. Superfici geometricamente ammesse 1704;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kv− 3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(-0,043; 5,461) m; raggio 6,257 m; estremi x=-3,097 / 5,883 m. D=156,83 kN/m, ΣR=198,982 kN/m, iterazioni 26, residuo 1.611E-07. Superfici geometricamente ammesse 1739;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kv+ 4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(-0,043; 5,461) m; raggio 6,257 m; estremi x=-3,097 / 5,883 m. D=144,066 kN/m, ΣR=179,088 kN/m, iterazioni 28, residuo 8.294E-08. Superfici geometricamente ammesse 1685;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0,052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0,094 / 0,084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 / 0,113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0,158 / 0,14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0,213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0,269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0,301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 / 0,373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0,464 / 0,412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0,471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0,477 / 0,423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0,736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0,847 / 0,752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 / 0,732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0,805 / 0,715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0,488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1,434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2,678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3,001 / 2,664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2,986 / 2,651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2,719 / 2,414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2,704 / 2,401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 / 2,388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2,661 / 2,363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2,647 / 2,35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2,618 / 2,325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2,575 / 2,286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 / 2,273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 / 2,26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 / 2,247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2,515 / 2,233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 / 2,22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2,485 / 2,206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 / 2,193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2,165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2,407 / 2,137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 / 2,122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2,374 / 2,108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2,357 / 2,093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 / 1,604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2,229 / 1,979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2,192 / 1,947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2,174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2,155 / 1,913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2,135 / 1,896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2,115 / 1,878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2,095 / 1,86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2,074 / 1,841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1,822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 / 1,802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2,006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1,983 / 1,76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1,958 / 1,738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1,932 / 1,715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1,692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1,667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1,818 / 1,614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1,785 / 1,585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 / 1,555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 / 1,523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1,677 / 1,489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1,452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1,365 / 1,212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 / 1,068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 / 0,707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