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Sisma da parametri del sito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70"/>
      </w:pPr>
      <w:r>
        <w:rPr>
          <w:rFonts w:ascii="Calibri" w:hAnsi="Calibri"/>
          <w:sz w:val="19"/>
        </w:rPr>
        <w:t>Pseudostatica locale Mononobe–Okabe: incremento dinamico a metà altezza, inerzia di muro e terreno sulla mensola, ±kv. Direzione verso valle. Questo modello locale non include inerzia del terreno di fondazione e spostamenti. La stabilità globale sismica richiede l’attivazione del calcolo Bishop separato, con il proprio profilo e i propri coefficienti pseudostatici.</w:t>
      </w:r>
    </w:p>
    <w:p>
      <w:pPr>
        <w:spacing w:after="70"/>
      </w:pPr>
      <w:r>
        <w:rPr>
          <w:rFonts w:ascii="Calibri" w:hAnsi="Calibri"/>
          <w:sz w:val="19"/>
        </w:rPr>
        <w:t>SLV · Categoria C: Ss=max(1; min(1,5; 1,7−0,6F₀·ag/g)).</w:t>
        <w:br/>
        <w:t>T2: St=1+(1,2−1)·z/H; z=quota dalla base, H=altezza del rilievo (non del muro).</w:t>
        <w:br/>
        <w:t>Ss=1,4; St=1,1; amax/g = Ss × St × ag/g = 1,4 × 1,1 × 0,2 = 0,308.</w:t>
        <w:br/>
        <w:t>βm=0,38 → kh=βm × amax/g = 0,11704; kv=±0,5kh = ±0,05852.</w:t>
        <w:br/>
        <w:t>Ribaltamento: βm,rib=min(1; 1,5βm)=0,57 → kh,rib=0,17556; kv,rib=±0,08778.</w:t>
        <w:br/>
        <w:t>NTC 2018 §§3.2.2, 3.2.3.2.1 e 7.11.6.2.1. ag/g e F₀ devono riferirsi allo SLV del progetto. Casi generali e ribaltamento separati; γR del preset SLV: scorrimento 1, ribaltamento 1, portanza 1,2 (portanza sismica non calcolata). Matrici personalizzate: fanno fede kh, kv e coefficienti di ogni riga.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Sezione, terreno e armature · carichi caratteristici; spinte: SLV Generale kv− 12</w:t>
      </w:r>
    </w:p>
    <w:p>
      <w:r>
        <w:drawing>
          <inline xmlns="http://schemas.openxmlformats.org/drawingml/2006/wordprocessingDrawing">
            <extent cx="5943600" cy="2593570"/>
            <docPr id="1" name="Muro 1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Sezione, terreno e armature · carichi caratteristici; spinte: SLV Generale kv− 12"/>
                    <cNvPicPr/>
                  </nvPicPr>
                  <blipFill>
                    <blip xmlns:p11="http://schemas.openxmlformats.org/officeDocument/2006/relationships" xmlns="http://schemas.openxmlformats.org/drawingml/2006/main" p11:embed="imag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Fusto · SLV Generale kv− 12</w:t>
      </w:r>
    </w:p>
    <w:p>
      <w:r>
        <w:drawing>
          <inline xmlns="http://schemas.openxmlformats.org/drawingml/2006/wordprocessingDrawing">
            <extent cx="5943600" cy="2593570"/>
            <docPr id="2" name="Muro 2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Diagrammi Fusto · SLV Generale kv− 12"/>
                    <cNvPicPr/>
                  </nvPicPr>
                  <blipFill>
                    <blip xmlns:p11="http://schemas.openxmlformats.org/officeDocument/2006/relationships" xmlns="http://schemas.openxmlformats.org/drawingml/2006/main" p11:embed="image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Valle · SLV Generale kv− 12</w:t>
      </w:r>
    </w:p>
    <w:p>
      <w:r>
        <w:drawing>
          <inline xmlns="http://schemas.openxmlformats.org/drawingml/2006/wordprocessingDrawing">
            <extent cx="5943600" cy="2593570"/>
            <docPr id="3" name="Muro 3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Diagrammi Valle · SLV Generale kv− 12"/>
                    <cNvPicPr/>
                  </nvPicPr>
                  <blipFill>
                    <blip xmlns:p11="http://schemas.openxmlformats.org/officeDocument/2006/relationships" xmlns="http://schemas.openxmlformats.org/drawingml/2006/main" p11:embed="image3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Monte · SLV Generale kv− 12</w:t>
      </w:r>
    </w:p>
    <w:p>
      <w:r>
        <w:drawing>
          <inline xmlns="http://schemas.openxmlformats.org/drawingml/2006/wordprocessingDrawing">
            <extent cx="5943600" cy="2593570"/>
            <docPr id="4" name="Muro 4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4" name="Diagrammi Monte · SLV Generale kv− 12"/>
                    <cNvPicPr/>
                  </nvPicPr>
                  <blipFill>
                    <blip xmlns:p11="http://schemas.openxmlformats.org/officeDocument/2006/relationships" xmlns="http://schemas.openxmlformats.org/drawingml/2006/main" p11:embed="image4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0.4804610978932346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0.33303305710103775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0.5294540670528276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0.38524980990356256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0.552824138721726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0.41103660228479033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0.6293479298331844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0.4992708517374262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0.5600755913938311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0.41915048131114807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0.44169382674335445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0.29354993881270086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0.4766410168470019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0.3290691114821999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0.4365145747773557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0.2884019041173983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0.467598174966944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0.3197490119633731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0.334797766171629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0.19371971768660018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0.31057704043160417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0.17308284321658063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0.2487068456605327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0.12403138951484902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0.20097263026724607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0.09009597192976605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6,667–24,667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24,667–27,367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2–20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20–22,7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10–28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28–30,7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10–28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28–30,7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10–33,4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33,4–36,91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10–33,4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33,4–36,91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4,886–23,94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23,94–26,798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4,69–21,636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21,636–24,178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6,545–26,125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26,125–29,062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6,339–22,759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22,759–25,222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Pseudostatica: kh=0,11704; |kv|=0,05852. Vedere i limiti di applicazione sopra riportati.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Dati del sito per il calcolo dei coefficienti sismici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5348"/>
        <w:gridCol w:w="4012"/>
      </w:tblGrid>
      <w:tr>
        <w:trPr>
          <w:cantSplit/>
          <w:tblHeader/>
        </w:trPr>
        <w:tc>
          <w:tcPr>
            <w:tcW w:w="534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Dato</w:t>
            </w:r>
          </w:p>
        </w:tc>
        <w:tc>
          <w:tcPr>
            <w:tcW w:w="4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Modello delle spinte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Mononobe–Okabe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ag/g allo SLV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Ss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St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Categoria sottosuolo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F₀ allo SLV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2.5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Forma del terreno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Pendio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Inclinazione media [°]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rilievo [m]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dalla base del rilievo [m]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SLV · Categoria C: Ss=max(1; min(1,5; 1,7−0,6F₀·ag/g)).</w:t>
        <w:br/>
        <w:t>T2: St=1+(1,2−1)·z/H; z=quota dalla base, H=altezza del rilievo (non del muro).</w:t>
        <w:br/>
        <w:t>Ss=1,4; St=1,1; amax/g = Ss × St × ag/g = 1,4 × 1,1 × 0,2 = 0,308.</w:t>
        <w:br/>
        <w:t>βm=0,38 → kh=βm × amax/g = 0,11704; kv=±0,5kh = ±0,05852.</w:t>
        <w:br/>
        <w:t>Ribaltamento: βm,rib=min(1; 1,5βm)=0,57 → kh,rib=0,17556; kv,rib=±0,08778.</w:t>
        <w:br/>
        <w:t>NTC 2018 §§3.2.2, 3.2.3.2.1 e 7.11.6.2.1. ag/g e F₀ devono riferirsi allo SLV del progetto.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69,241 / 76,283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SLV Ribaltamento kv+ 15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124,182 / 276,078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175,847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Da verificare: inerzia del terreno di fondazione esclusa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0,313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3,059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137,07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0,821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43,017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96,913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Armatura/area efficace assente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0,038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79,256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26,026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64,144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62,15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65,21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 / -0,059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 / 0,059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 / -0,088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 / 0,088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6,667–24,667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24,667–27,367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2–20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20–22,7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10–28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28–30,7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10–28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28–30,7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10–33,4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33,4–36,91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10–33,4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33,4–36,91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0,404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0–19,053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2,566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2,321 / 4,886–23,94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0,404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19,053–21,911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2,566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2,321 / 23,94–26,798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0,414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0–16,947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2,352 / 4,69–21,636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0,414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16,947–19,489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2,352 / 21,636–24,178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0,442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0–19,58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3,662 / 6,545–26,125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0,442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19,58–22,517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3,662 / 26,125–29,062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0,467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0–16,42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3,783 / 6,339–22,759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0,467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16,42–18,883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3,783 / 22,759–25,222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191,325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166,125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209,325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226,763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80,92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238,485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80,92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255,923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74,099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175,847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69,241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156,403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90,588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180,707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83,606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151,543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355,564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80,739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71,883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302,644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393,364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100,576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83,908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416,117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100,576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91,99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454,6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112,895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90,177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477,353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112,895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98,258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320,354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105,215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91,036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284,933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99,238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84,741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329,21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132,621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109,884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276,078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124,182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100,793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46,777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-42,671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-44,493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22,447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55,112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-55,007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-56,031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23,824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58,393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-53,263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-53,277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24,649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60,863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-62,15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-65,21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26,026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64,144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-60,406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-62,456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25,801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53,626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46,092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23,476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56,386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-58,735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-53,59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22,949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49,679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42,342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21,873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52,363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-55,906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-50,379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63,831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53,285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28,422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67,526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-76,233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-66,83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22,235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58,309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47,925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61,698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-72,331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-62,268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>
  <Relationship Id="image1" Type="http://schemas.openxmlformats.org/officeDocument/2006/relationships/image" Target="media/image1.png" />
  <Relationship Id="image2" Type="http://schemas.openxmlformats.org/officeDocument/2006/relationships/image" Target="media/image2.png" />
  <Relationship Id="image3" Type="http://schemas.openxmlformats.org/officeDocument/2006/relationships/image" Target="media/image3.png" />
  <Relationship Id="image4" Type="http://schemas.openxmlformats.org/officeDocument/2006/relationships/image" Target="media/image4.png" />
</Relationships>
</file>