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Muro con azioni e due armature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0,542</w:t>
              <w:br/>
              <w:t>igamma = 0,399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0,572</w:t>
              <w:br/>
              <w:t>igamma = 0,432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0,585</w:t>
              <w:br/>
              <w:t>igamma = 0,447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0,606</w:t>
              <w:br/>
              <w:t>igamma = 0,471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0,643</w:t>
              <w:br/>
              <w:t>igamma = 0,515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0,571</w:t>
              <w:br/>
              <w:t>igamma = 0,432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0,606</w:t>
              <w:br/>
              <w:t>igamma = 0,471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0,516</w:t>
              <w:br/>
              <w:t>igamma = 0,371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0,554</w:t>
              <w:br/>
              <w:t>igamma = 0,412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0,499</w:t>
              <w:br/>
              <w:t>igamma = 0,353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0,534</w:t>
              <w:br/>
              <w:t>igamma = 0,39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 oppure indipendenti;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superiore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Armatura inferiore fino a h₁=1.2 m dal piede del fusto; armatura superiore fino alla sommità. Verifiche su entrambi i lati del cambio di armatura.</w:t>
      </w:r>
    </w:p>
    <w:p>
      <w:pPr>
        <w:spacing w:after="70"/>
      </w:pPr>
      <w:r>
        <w:rPr>
          <w:rFonts w:ascii="Calibri" w:hAnsi="Calibri"/>
          <w:sz w:val="19"/>
        </w:rPr>
        <w:t>Quantità indicative: 2,55 m³/m di calcestruzzo e 98,725 kg/m (con dettagli se attivati). La distinta aggiornata delle barre e i controlli di ancoraggio, sovrapposizione e armatura secondaria sono riportati nel capitolo dedicato.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96,265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296,909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236,235 / 859,354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592,424 / 678,584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z=1.80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1,736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37,876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1,286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67,377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0,057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 / 165,741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22,382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55,451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42,977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46,283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178,95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166,35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180,075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190,11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209,235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207,075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217,11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236,235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322,545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64,171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303,645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58,158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296,085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55,753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284,745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308,933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345,981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68,326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370,169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71,701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341,445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70,183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365,633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79,558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402,681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76,452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426,869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85,827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16,677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41,372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-29,666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-31,335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-23,498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-25,566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35,538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-23,258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33,038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-19,797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-15,386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38,789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-24,473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-28,976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-22,529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-25,736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45,54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-35,834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-37,104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20,179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-33,864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20,632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51,291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-42,977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-46,283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55,451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-41,033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-43,043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Portanza sismica con inerzia del terreno</w:t>
      </w:r>
    </w:p>
    <w:p>
      <w:pPr>
        <w:spacing w:after="70"/>
      </w:pPr>
      <w:r>
        <w:rPr>
          <w:rFonts w:ascii="Calibri" w:hAnsi="Calibri"/>
          <w:sz w:val="19"/>
        </w:rPr>
        <w:t>EN 1998-5:2004 allegato F, modello drenato per fondazione nastriforme su terreno granulare asciutto. Nmax=0,5 γ(1−av/g) B² Nγ; Nγ=2(Nq−1)tanφd. Ricoprimento favorevole escluso. Il dominio considera insieme N, V e M, senza ulteriori riduzioni di B o inclinazione. F=γRD ah/(g tanφd); N̄=γRD γR N/Nmax; V̄=γRD γR |V|/Nmax; M̄=γRD γR |M|/(B Nmax).</w:t>
      </w:r>
    </w:p>
    <w:p>
      <w:pPr>
        <w:spacing w:after="70"/>
      </w:pPr>
      <w:r>
        <w:rPr>
          <w:rFonts w:ascii="Calibri" w:hAnsi="Calibri"/>
          <w:sz w:val="19"/>
        </w:rPr>
        <w:t>I=[(1−0,41F)^1,14(2,90V̄)^1,14+(1−0,32F)^1,01(2,80M̄)^1,01] / [N̄^0,92 ((1−0,96F)^0,39−N̄)^1,25] ≤1. 0&lt;N̄&lt;(1−0,96F)^0,39. Il tasso η è l’inverso del moltiplicatore limite lungo il raggio N,V,M; non coincide con I. γR è quello della combinazione; γRD=1.15. Origine accelerazione: Da sito. Da sito: ah/g=ag/g·Ss·St, |av|/g=0,5 ah/g; assegnata: ah/g=, |av|/g=.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91"/>
        <w:gridCol w:w="1493"/>
        <w:gridCol w:w="1991"/>
        <w:gridCol w:w="1394"/>
        <w:gridCol w:w="2491"/>
      </w:tblGrid>
      <w:tr>
        <w:trPr>
          <w:cantSplit/>
          <w:tblHeader/>
        </w:trPr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49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Nmax / F</w:t>
            </w:r>
          </w:p>
        </w:tc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N̄ / V̄ / M̄</w:t>
            </w:r>
          </w:p>
        </w:tc>
        <w:tc>
          <w:tcPr>
            <w:tcW w:w="13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 / η</w:t>
            </w:r>
          </w:p>
        </w:tc>
        <w:tc>
          <w:tcPr>
            <w:tcW w:w="24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Cedimenti e spostamenti in esercizio</w:t>
      </w:r>
    </w:p>
    <w:p>
      <w:pPr>
        <w:spacing w:after="70"/>
      </w:pPr>
      <w:r>
        <w:rPr>
          <w:rFonts w:ascii="Calibri" w:hAnsi="Calibri"/>
          <w:sz w:val="19"/>
        </w:rPr>
        <w:t>Cedimenti richiesti: False; spostamenti richiesti: False. Pressione rimossa= kPa; limite cedimento=25 mm, rotazione=0.002 rad, spostamento testa=20 mm. Rigidezza orizzontale per metro= kN/m². Substrato rigido documentato: False.</w:t>
      </w:r>
    </w:p>
    <w:p>
      <w:pPr>
        <w:spacing w:after="70"/>
      </w:pPr>
      <w:r>
        <w:rPr>
          <w:rFonts w:ascii="Calibri" w:hAnsi="Calibri"/>
          <w:sz w:val="19"/>
        </w:rPr>
        <w:t>Cedimento finale edometrico s=∫Δσz/M dz; tensioni Boussinesq della striscia con contatto lineare, al netto del terreno rimosso. Moduli assegnati e costanti per strato; niente storia di consolidazione o tempo di drenaggio. Confronto fra due discretizzazioni; profondità sufficiente a Δσz≤10% del carico netto o substrato rigido documentato. La rotazione deriva dal profilo di cedimento libero; non è una soluzione accoppiata della fondazione rigida. Flessione del fusto: doppia integrazione delle curvature GPC fessurate con viscosità per il c.a.; modello elastico senza trazione per gravità. u totale = u fusto + H/K − θ Hmuro. I limiti sono assegnati dal progettista.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320"/>
        <w:gridCol w:w="2160"/>
        <w:gridCol w:w="2880"/>
      </w:tblGrid>
      <w:tr>
        <w:trPr>
          <w:cantSplit/>
          <w:tblHeader/>
        </w:trPr>
        <w:tc>
          <w:tcPr>
            <w:tcW w:w="43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Strato sotto posa</w:t>
            </w:r>
          </w:p>
        </w:tc>
        <w:tc>
          <w:tcPr>
            <w:tcW w:w="21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Spessore [m]</w:t>
            </w:r>
          </w:p>
        </w:tc>
        <w:tc>
          <w:tcPr>
            <w:tcW w:w="2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edometrico [kPa]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90"/>
        <w:gridCol w:w="1890"/>
        <w:gridCol w:w="1134"/>
        <w:gridCol w:w="1607"/>
        <w:gridCol w:w="2839"/>
      </w:tblGrid>
      <w:tr>
        <w:trPr>
          <w:cantSplit/>
          <w:tblHeader/>
        </w:trPr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 valle/centro/monte [mm]</w:t>
            </w:r>
          </w:p>
        </w:tc>
        <w:tc>
          <w:tcPr>
            <w:tcW w:w="113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θ [rad]</w:t>
            </w:r>
          </w:p>
        </w:tc>
        <w:tc>
          <w:tcPr>
            <w:tcW w:w="160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fusto/totale [mm]</w:t>
            </w:r>
          </w:p>
        </w:tc>
        <w:tc>
          <w:tcPr>
            <w:tcW w:w="28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Contributi degli strati lungo la verticale centrale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755"/>
        <w:gridCol w:w="1755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strato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[kPa]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Δs [mm]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Spostamenti sismici permanenti Newmark</w:t>
      </w:r>
    </w:p>
    <w:p>
      <w:pPr>
        <w:spacing w:after="70"/>
      </w:pPr>
      <w:r>
        <w:rPr>
          <w:rFonts w:ascii="Calibri" w:hAnsi="Calibri"/>
          <w:sz w:val="19"/>
        </w:rPr>
        <w:t>Integrazione esatta per tratti lineari di a(t)−ky·g, con velocità non negativa verso valle e arresto dopo il termine della registrazione. Modello di blocco rigido libero; escluso Wood. ky/g e compatibilità delle storie con sito e stato limite sono responsabilità dell’analisi geotecnica. Ogni storia SLD o SLV viene controllata singolarmente: non viene dedotta la conformità normativa dell’insieme di accelerogrammi dal solo ag/g.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12"/>
        <w:gridCol w:w="2012"/>
        <w:gridCol w:w="805"/>
        <w:gridCol w:w="1509"/>
        <w:gridCol w:w="3022"/>
      </w:tblGrid>
      <w:tr>
        <w:trPr>
          <w:cantSplit/>
          <w:tblHeader/>
        </w:trPr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Storia / stato</w:t>
            </w:r>
          </w:p>
        </w:tc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ky/g / scala / PGA/g</w:t>
            </w:r>
          </w:p>
        </w:tc>
        <w:tc>
          <w:tcPr>
            <w:tcW w:w="80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Campioni</w:t>
            </w:r>
          </w:p>
        </w:tc>
        <w:tc>
          <w:tcPr>
            <w:tcW w:w="150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 / limite [mm]</w:t>
            </w:r>
          </w:p>
        </w:tc>
        <w:tc>
          <w:tcPr>
            <w:tcW w:w="302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 campioni integrati completi e le curvature sono interrogabili nelle tabelle del modulo e conservati nel risultato JSON; gli accelerogrammi di input restano nel file del muro.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Distinta di predimensionamento delle armature</w:t>
      </w:r>
    </w:p>
    <w:p>
      <w:pPr>
        <w:spacing w:after="70"/>
      </w:pPr>
      <w:r>
        <w:rPr>
          <w:rFonts w:ascii="Calibri" w:hAnsi="Calibri"/>
          <w:sz w:val="19"/>
        </w:rPr>
        <w:t>Schema di predimensionamento per metro: principali, rete secondaria e collegamenti della giunzione. Ancoraggi a fyd senza riduzioni favorevoli; 100% giunzioni a h₁. Sfridi, giunti di costruzione, estremità lungo muro e piano di posa delle barre fuori piano richiedono il disegno esecutivo. Non è una distinta di officina. Dettagli inclusi nel riepilogo: False. Principale fusto: monte/valle; solette: inferiore/superiore. Barre principali e secondarie disposte sulle due facce.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52"/>
        <w:gridCol w:w="1761"/>
        <w:gridCol w:w="880"/>
        <w:gridCol w:w="1982"/>
        <w:gridCol w:w="1985"/>
      </w:tblGrid>
      <w:tr>
        <w:trPr>
          <w:cantSplit/>
          <w:tblHeader/>
        </w:trPr>
        <w:tc>
          <w:tcPr>
            <w:tcW w:w="275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 / zona / faccia</w:t>
            </w:r>
          </w:p>
        </w:tc>
        <w:tc>
          <w:tcPr>
            <w:tcW w:w="176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Ø / As [mm²/m]</w:t>
            </w:r>
          </w:p>
        </w:tc>
        <w:tc>
          <w:tcPr>
            <w:tcW w:w="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 [m]</w:t>
            </w:r>
          </w:p>
        </w:tc>
        <w:tc>
          <w:tcPr>
            <w:tcW w:w="19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lbd richiesto/usato [mm]</w:t>
            </w:r>
          </w:p>
        </w:tc>
        <w:tc>
          <w:tcPr>
            <w:tcW w:w="19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l0 richiesto/usato [mm]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 / stem / monte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2,495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 / stem / valle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2,495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 / stem_upper / monte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Ø12 / 678,584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2,309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827,125 / 1110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 / stem_upper / valle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Ø12 / 678,584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2,309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827,125 / 1110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 / toe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 / toe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P7 / heel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P8 / heel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337"/>
        <w:gridCol w:w="2674"/>
        <w:gridCol w:w="2674"/>
        <w:gridCol w:w="2675"/>
      </w:tblGrid>
      <w:tr>
        <w:trPr>
          <w:cantSplit/>
          <w:tblHeader/>
        </w:trPr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Mandrino [mm]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fbd [MPa]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Interasse [mm]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Zona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Rete secondaria Ø / passo [mm]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complessiva stimata: 186,669 kg/m. Aderenza buona: False; aggregato 20 mm; vita 50 anni; tolleranza copriferro 10 mm. Giunzioni: 100% alla stessa quota; collegamenti Ø8/200 mm. Ancoraggi calcolati a fyd, α1…α5=1; sovrapposizioni con α6 e minimi NTC. Mandrino controllato per piegatura acciaio e pressione CLS.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170"/>
        <w:gridCol w:w="2340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Dettaglio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Richiesto / disponibile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152,8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2320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1800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152,8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2320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800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169,6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153,6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2320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169,6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153,6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2320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Giunzione · passo collegamenti fra facce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150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Giunzione · area trasversale in ciascun terzo estremo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100,531 / 50,265 mm²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Fonti dei nuovi modelli: JRC Eurocode 8 Seismic Design of Buildings Worked Examples (2011), §4.8; JRC Eurocode 2 Background and Applications, Arrieta, Anchorage and lap splicing (2011); USACE EM 1110-1-1905 (2025); USGS SIR 2007-5196; NTC 2018 §§4.1.11 e 7.8.2.2.3. I motori geotecnici sono separati dall’interfaccia e dai materiali GPC.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