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Due colonne · caso riproducibile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Dv=1,45 m; Hlib=2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0,642</w:t>
              <w:br/>
              <w:t>igamma = 0,514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0,666</w:t>
              <w:br/>
              <w:t>igamma = 0,544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0,673</w:t>
              <w:br/>
              <w:t>igamma = 0,552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0,598</w:t>
              <w:br/>
              <w:t>igamma = 0,462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0,605</w:t>
              <w:br/>
              <w:t>igamma = 0,47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0,628</w:t>
              <w:br/>
              <w:t>igamma = 0,498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0,642</w:t>
              <w:br/>
              <w:t>igamma = 0,514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0,666</w:t>
              <w:br/>
              <w:t>igamma = 0,544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0,673</w:t>
              <w:br/>
              <w:t>igamma = 0,552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0,598</w:t>
              <w:br/>
              <w:t>igamma = 0,462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0,605</w:t>
              <w:br/>
              <w:t>igamma = 0,47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0,628</w:t>
              <w:br/>
              <w:t>igamma = 0,498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 oppure indipendenti;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2,55 m³/m di calcestruzzo e 113,64 kg/m (con dettagli se attivati). La distinta aggiornata delle barre e i controlli di ancoraggio, sovrapposizione e armatura secondaria sono riportati nel capitolo dedicato.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 / 90,678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 / 305,862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 / 2054,584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58,725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45,011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165,741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27,708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27,939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179,67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198,795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204,51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208,83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223,635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179,67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198,795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204,51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208,83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223,635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292,233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314,693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316,421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81,489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351,741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73,774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353,469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78,382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375,929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377,657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87,757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292,233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314,693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316,421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81,489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351,741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73,774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353,469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78,382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375,929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377,657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87,757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False; spostamenti richiesti: False. Pressione rimossa= kPa; limite cedimento=25 mm, rotazione=0.002 rad, spostamento testa=20 mm. Rigidezza orizzontale per metro=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Distinta di predimensionamento delle armature</w:t>
      </w:r>
    </w:p>
    <w:p>
      <w:pPr>
        <w:spacing w:after="70"/>
      </w:pPr>
      <w:r>
        <w:rPr>
          <w:rFonts w:ascii="Calibri" w:hAnsi="Calibri"/>
          <w:sz w:val="19"/>
        </w:rPr>
        <w:t>Schema di predimensionamento per metro: principali, rete secondaria e collegamenti della giunzione. Ancoraggi a fyd senza riduzioni favorevoli; 100% giunzioni a h₁. Sfridi, giunti di costruzione, estremità lungo muro e piano di posa delle barre fuori piano richiedono il disegno esecutivo. Non è una distinta di officina. Dettagli inclusi nel riepilogo: False. Principale fusto: monte/valle; solette: inferiore/superiore. Barre principali e secondarie disposte sulle due facce.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52"/>
        <w:gridCol w:w="1761"/>
        <w:gridCol w:w="880"/>
        <w:gridCol w:w="1982"/>
        <w:gridCol w:w="1985"/>
      </w:tblGrid>
      <w:tr>
        <w:trPr>
          <w:cantSplit/>
          <w:tblHeader/>
        </w:trPr>
        <w:tc>
          <w:tcPr>
            <w:tcW w:w="275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 / zona / faccia</w:t>
            </w:r>
          </w:p>
        </w:tc>
        <w:tc>
          <w:tcPr>
            <w:tcW w:w="176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Ø / As [mm²/m]</w:t>
            </w:r>
          </w:p>
        </w:tc>
        <w:tc>
          <w:tcPr>
            <w:tcW w:w="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 [m]</w:t>
            </w:r>
          </w:p>
        </w:tc>
        <w:tc>
          <w:tcPr>
            <w:tcW w:w="19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lbd richiesto/usato [mm]</w:t>
            </w:r>
          </w:p>
        </w:tc>
        <w:tc>
          <w:tcPr>
            <w:tcW w:w="19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l0 richiesto/usato [mm]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 / stem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 / stem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 / toe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 / toe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 / heel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 / heel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37"/>
        <w:gridCol w:w="2674"/>
        <w:gridCol w:w="2674"/>
        <w:gridCol w:w="2675"/>
      </w:tblGrid>
      <w:tr>
        <w:trPr>
          <w:cantSplit/>
          <w:tblHeader/>
        </w:trPr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Mandrino [mm]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fbd [MPa]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Interasse [mm]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Rete secondaria Ø / passo [mm]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complessiva stimata: 182,373 kg/m. Aderenza buona: False; aggregato 20 mm; vita 50 anni; tolleranza copriferro 10 mm. Giunzioni: 100% alla stessa quota; collegamenti Ø8/200 mm. Ancoraggi calcolati a fyd, α1…α5=1; sovrapposizioni con α6 e minimi NTC. Mandrino controllato per piegatura acciaio e pressione CLS.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170"/>
        <w:gridCol w:w="2340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Dettaglio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Richiesto / disponibile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1800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