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.xml" ContentType="application/vnd.openxmlformats-officedocument.wordprocessingml.footer+xml"/>
</Types>
</file>

<file path=_rels/.rels><Relationships xmlns="http://schemas.openxmlformats.org/package/2006/relationships">
  <Relationship Id="doc" Type="http://schemas.openxmlformats.org/officeDocument/2006/relationships/officeDocument" Target="word/document.xml" />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Relazione di calcolo</w:t>
      </w:r>
    </w:p>
    <w:p>
      <w:pPr>
        <w:pStyle w:val="Subtitle"/>
      </w:pPr>
      <w:r>
        <w:t xml:space="preserve">Muri</w:t>
      </w:r>
    </w:p>
    <w:p>
      <w:pPr>
        <w:pStyle w:val="Normal"/>
      </w:pPr>
      <w:r>
        <w:t xml:space="preserve">ANTHEA · 30/09/2026 13:42</w:t>
      </w:r>
    </w:p>
    <w:p>
      <w:pPr>
        <w:pStyle w:val="Normal"/>
      </w:pPr>
      <w:r>
        <w:t xml:space="preserve">Il documento comprende 1 schede, organizzate secondo la struttura della sezione e delle sue sottosezioni. I dati comuni compatibili e uguali sono raccolti al livello di riferimento; azioni, parametri specifici e risultati sono riportati per ciascun foglio.</w:t>
      </w:r>
    </w:p>
    <w:p>
      <w:pPr>
        <w:pStyle w:val="Normal"/>
      </w:pPr>
      <w:r>
        <w:t xml:space="preserve">I calcoli sono stati aggiornati sui dati acquisiti all'avvio dell'esportazione. Gli esiti mancanti o non determinati e i limiti dei singoli moduli restano esplicitamente indicati.</w:t>
      </w:r>
    </w:p>
    <w:p>
      <w:pPr>
        <w:pStyle w:val="Heading1"/>
      </w:pPr>
      <w:r>
        <w:t xml:space="preserve">Contenuti</w:t>
      </w:r>
    </w:p>
    <w:p>
      <w:pPr>
        <w:spacing w:after="45"/>
        <w:ind w:left="0"/>
      </w:pPr>
      <w:hyperlink w:anchor="section1">
        <w:r>
          <w:t>1 Muri</w:t>
        </w:r>
      </w:hyperlink>
    </w:p>
    <w:p>
      <w:pPr>
        <w:spacing w:after="45"/>
        <w:ind w:left="180"/>
      </w:pPr>
      <w:hyperlink w:anchor="section2">
        <w:r>
          <w:t>1.1 Sezione</w:t>
        </w:r>
      </w:hyperlink>
    </w:p>
    <w:p>
      <w:pPr>
        <w:pStyle w:val="Heading1"/>
      </w:pPr>
      <w:bookmarkStart w:id="1" w:name="section1"/>
      <w:r>
        <w:t xml:space="preserve">1 Muri</w:t>
      </w:r>
      <w:bookmarkEnd w:id="1"/>
    </w:p>
    <w:p>
      <w:pPr>
        <w:pStyle w:val="Heading2"/>
      </w:pPr>
      <w:bookmarkStart w:id="2" w:name="section2"/>
      <w:r>
        <w:t xml:space="preserve">1.1 Sezione</w:t>
      </w:r>
      <w:bookmarkEnd w:id="2"/>
    </w:p>
    <w:p>
      <w:pPr>
        <w:pStyle w:val="Normal"/>
      </w:pPr>
      <w:r>
        <w:t xml:space="preserve">Modulo: Muri di sostegno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Campo di applicazione e verifiche richieste</w:t>
      </w:r>
    </w:p>
    <w:p>
      <w:pPr>
        <w:spacing w:after="70"/>
      </w:pPr>
      <w:r>
        <w:rPr>
          <w:rFonts w:ascii="Calibri" w:hAnsi="Calibri"/>
          <w:sz w:val="19"/>
        </w:rPr>
        <w:t>Sezione piana per metro di sviluppo. Paramento di monte verticale, riempimento orizzontale granulare (c′ = 0), spinta attiva oppure a riposo nel modello Wood. Fondazione nastriforme superficiale su terreno omogeneo drenato, con due stratigrafie e terreno a valle. Muro a mensola in c.a. o a gravità con sezione trapezia.</w:t>
      </w:r>
    </w:p>
    <w:p>
      <w:pPr>
        <w:spacing w:after="70"/>
      </w:pPr>
      <w:r>
        <w:rPr>
          <w:rFonts w:ascii="Calibri" w:hAnsi="Calibri"/>
          <w:sz w:val="19"/>
        </w:rPr>
        <w:t>Bishop, cedimenti edometrici e spostamenti sono verifiche separate da attivare con i dati richiesti. Portanza sismica: EN 1998-5 allegato F, base ruvida e terreno granulare asciutto. Newmark: accelerogrammi e soglia di scorrimento assegnati, solo muro libero. Gravità: resistenze assegnate oppure CLS/muratura nel dominio senza trazione; fuori campo occorre analisi non lineare. Il disegno delle armature è un predimensionamento, da completare con dettagli esecutivi. Liquefazione, verifiche idrauliche e degradazione ciclica non incluse. Nessun esito complessivo dell’opera.</w:t>
      </w:r>
    </w:p>
    <w:p>
      <w:pPr>
        <w:spacing w:after="70"/>
      </w:pPr>
      <w:r>
        <w:rPr>
          <w:rFonts w:ascii="Calibri" w:hAnsi="Calibri"/>
          <w:sz w:val="19"/>
        </w:rPr>
        <w:t>Statica: Rankine per strati (K₀ nel modello Wood), pressioni efficaci e acqua separate. Preset SLU A1+M1+R3: inviluppo γG,muro e γG,terra = 1 / 1,3; γQ = 0 / 1,5; γG,acqua = 1 / 1,3, correlato a spinta e sottospinta. γR scorrimento 1,1, ribaltamento 1,15, portanza 1,4. Portanza: EN 1997-1, allegato D, fondazione nastriforme c′=0, q′ di ricoprimento da valle, Nγ=2(Nq−1)tanφ, iγ=(1−H/V)³; base ruvida δ≥φ/2. Contatto elastico senza trazione; B′=B−2|e|. Oltre |e|=B/3 la portanza è fuori campo. Passiva Rankine opzionale e parzializzabile, esclusa nel sisma.</w:t>
      </w:r>
    </w:p>
    <w:p>
      <w:pPr>
        <w:spacing w:after="70"/>
      </w:pPr>
      <w:r>
        <w:rPr>
          <w:rFonts w:ascii="Calibri" w:hAnsi="Calibri"/>
          <w:sz w:val="19"/>
        </w:rPr>
        <w:t>GPC.Geometry: area e baricentro; GPC.Model e GPCChecker.Concrete: materiali, equilibrio N–M e tensioni delle sezioni armate. Pressioni geotecniche ed equilibrio del muro: ANTHEA.</w:t>
      </w:r>
    </w:p>
    <w:p>
      <w:pPr>
        <w:spacing w:after="70"/>
      </w:pPr>
      <w:r>
        <w:rPr>
          <w:rFonts w:ascii="Calibri" w:hAnsi="Calibri"/>
          <w:sz w:val="19"/>
        </w:rPr>
        <w:t>Due colonne con profondità dalla rispettiva superficie. Hlib è misurata dalla sommità al terreno di valle; Dv=H+t−Hlib dal piano di posa. Collegare le colonne copia spessori e materiali, non le quote assolute. Peso del terreno sopra la mensola e ricoprimento efficace nella portanza sempre inclusi. Passiva Rankine attivabile con frazione mobilitata 0–1; esclusa nei casi sismici. Il terreno di posa resta un input distinto.</w:t>
      </w:r>
    </w:p>
    <w:p>
      <w:pPr>
        <w:spacing w:after="70"/>
      </w:pPr>
      <w:r>
        <w:rPr>
          <w:rFonts w:ascii="Calibri" w:hAnsi="Calibri"/>
          <w:sz w:val="19"/>
        </w:rPr>
        <w:t>Automatico: δd=k·atan(tanφcv,k/γMφ), k=1 gettato in opera, 2/3 prefabbricato, 0 liscio. φcv è l’angolo a volume costante, da caratterizzare; non è automaticamente l’angolo di picco. Assegnato: tanδd=tanδk/γMφ. Sul fusto Coulomb/Mononobe–Okabe con attrito; per l’equilibrio con mensola a monte la spinta è sul piano virtuale a tergo della mensola, δ=0. Wood non mobilita δ. Nessun doppio conteggio dell’attrito interno al blocco muro–terreno.</w:t>
      </w:r>
    </w:p>
    <w:p>
      <w:pPr>
        <w:spacing w:after="70"/>
      </w:pPr>
      <w:r>
        <w:rPr>
          <w:rFonts w:ascii="Calibri" w:hAnsi="Calibri"/>
          <w:sz w:val="19"/>
        </w:rPr>
        <w:t>Passiva applicata al piano verticale esterno a valle e limitata alla spinta motrice; nessuna maggiorazione favorevole γG&gt;1. Diagrammi del fusto: equilibrio della sezione con terreno sul paramento inclinato e attrito di monte. Ricoprimento q′ di valle usato con iq=(1−|H|/V)²; nessuna maggiorazione di profondità.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Geometria e dati di ingresso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Altezza sopra fondazione · H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al piede · s₀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in testa · s₁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fondazione · t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valle · a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monte · 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1.9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terreno di posa · φ′f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asciutto · γf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saturo · γsat,f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alla base · δb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 variabile · qk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Forza variabile in testa verso valle · Hk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Forza variabile in testa (centrata) · Nk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Coefficiente frequente del carico · ψ₁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Coefficiente quasi permanente · ψ₂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specifico muro · γm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Resistenza calcestruzzo · fck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Snervamento armature · fyk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Copriferro netto barre · c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Coefficiente viscosità per SLE · φ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Stratigrafia di monte (dalla sommità)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1337"/>
        <w:gridCol w:w="1337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Δz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[kN/m³]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γsat [kN/m³]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 [°]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Stratigrafia di valle (dalla superficie di valle)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1337"/>
        <w:gridCol w:w="1337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Δz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[kN/m³]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γsat [kN/m³]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 [°]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Dv=0 m; Hlib=3,4 m. Colonne collegate: False. Passiva richiesta: False; frazione=0.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Origine degli attriti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5349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534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Input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wall_mode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Assegnato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wall_delta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wall_phi_cv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base_mode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Assegnato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base_phi_cv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Valori geotecnici effettivamente utilizzati per combinazione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679"/>
        <w:gridCol w:w="2759"/>
        <w:gridCol w:w="3239"/>
        <w:gridCol w:w="1683"/>
      </w:tblGrid>
      <w:tr>
        <w:trPr>
          <w:cantSplit/>
          <w:tblHeader/>
        </w:trPr>
        <w:tc>
          <w:tcPr>
            <w:tcW w:w="167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275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Quote e attriti</w:t>
            </w:r>
          </w:p>
        </w:tc>
        <w:tc>
          <w:tcPr>
            <w:tcW w:w="323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Terreno valle</w:t>
            </w:r>
          </w:p>
        </w:tc>
        <w:tc>
          <w:tcPr>
            <w:tcW w:w="168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Portanza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Caratteristica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0,541</w:t>
              <w:br/>
              <w:t>igamma = 0,398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Frequente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0,57</w:t>
              <w:br/>
              <w:t>igamma = 0,43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0,582</w:t>
              <w:br/>
              <w:t>igamma = 0,445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0,603</w:t>
              <w:br/>
              <w:t>igamma = 0,468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2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0,516</w:t>
              <w:br/>
              <w:t>igamma = 0,371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3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0,574</w:t>
              <w:br/>
              <w:t>igamma = 0,435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0,505</w:t>
              <w:br/>
              <w:t>igamma = 0,359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0,635</w:t>
              <w:br/>
              <w:t>igamma = 0,506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0,549</w:t>
              <w:br/>
              <w:t>igamma = 0,406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0,603</w:t>
              <w:br/>
              <w:t>igamma = 0,468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0,533</w:t>
              <w:br/>
              <w:t>igamma = 0,389</w:t>
              <w:br/>
              <w:t>Base ruvida: True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Coefficienti delle spinte sul fusto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2674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z₀–z₁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φd [°]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 / Ke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Incremento [kPa]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Caratteristica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Caratteristica / 3–3,4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Frequente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Frequente / 3–3,4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/ 3–3,4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 / 3–3,4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2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2 / 3–3,4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3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3 / 3–3,4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3–3,4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3–3,4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3–3,4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3–3,4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3–3,4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Pressioni sul fusto e resistenza di valle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2674"/>
        <w:gridCol w:w="2675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piano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z₀–z₁ [m]</w:t>
            </w:r>
          </w:p>
        </w:tc>
        <w:tc>
          <w:tcPr>
            <w:tcW w:w="267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p₀–p₁ [kPa]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Caratteristica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3,333–21,333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Caratteristica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21,333–23,733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Frequente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1,667–19,667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Frequente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19,667–22,067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1–19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19–21,4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2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5–23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2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23–25,4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3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3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23,4–26,52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5–28,4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28,4–31,52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5–23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23–25,4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23,4–26,52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5–28,4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28,4–31,52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assente.</w:t>
      </w:r>
    </w:p>
    <w:p>
      <w:pPr>
        <w:spacing w:after="70"/>
      </w:pPr>
      <w:r>
        <w:rPr>
          <w:rFonts w:ascii="Calibri" w:hAnsi="Calibri"/>
          <w:sz w:val="19"/>
        </w:rPr>
        <w:t>Analisi sismica non richiesta nel presente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Armature e verifiche strutturali</w:t>
      </w:r>
    </w:p>
    <w:p>
      <w:pPr>
        <w:spacing w:after="70"/>
      </w:pPr>
      <w:r>
        <w:rPr>
          <w:rFonts w:ascii="Calibri" w:hAnsi="Calibri"/>
          <w:sz w:val="19"/>
        </w:rPr>
        <w:t>Due facce simmetriche oppure indipendenti; quantità per metro. Resistenza N–M da GPCChecker.Concrete, taglio senza staffe secondo NTC 2018 senza beneficio della compressione. Sezioni del fusto ogni H/20, compresa la testa quando caricata, e radici delle mensole; l’inviluppo indica la sezione governante. SLE: sezione fessurata, viscosità assegnata, esposizione XC2. Compressione positiva nei risultati del muro e convertita in N negativa per Checker.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3120"/>
        <w:gridCol w:w="1560"/>
      </w:tblGrid>
      <w:tr>
        <w:trPr>
          <w:cantSplit/>
          <w:tblHeader/>
        </w:trPr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Barre per metro/faccia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Ø [mm]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inferiore / intero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Quantità indicative: 2,1 m³/m di calcestruzzo e 113,64 kg/m (con dettagli se attivati). La distinta aggiornata delle barre e i controlli di ancoraggio, sovrapposizione e armatura secondaria sono riportati nel capitolo dedicato.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geotecniche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Scorrimento</w:t>
              <w:br/>
              <w:t>SLU 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62,084 / 95,055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0,653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Ribaltamento</w:t>
              <w:br/>
              <w:t>SLU 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68,204 / 291,417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Capacità portante</w:t>
              <w:br/>
              <w:t>SLU 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230,13 / 875,441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0,263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fondazione</w:t>
              <w:br/>
              <w:t>SLU 6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0,061 / 1,5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in compressione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strutturali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z=0.15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421,726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z=0.15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12000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0,201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tensione CLS</w:t>
              <w:br/>
              <w:t>Quasi permanente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2,994 / 13,5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0,222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tensione acciaio</w:t>
              <w:br/>
              <w:t>Caratteristica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147,693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589,077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16000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0,151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tensione CLS</w:t>
              <w:br/>
              <w:t>Quasi permanente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0,732 / 13,5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tensione acciaio</w:t>
              <w:br/>
              <w:t>Caratteristica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42,051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z=1.90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589,077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z=1.90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16000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0,151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z=1.90 m · tensione CLS</w:t>
              <w:br/>
              <w:t>Caratteristica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1,707 / 18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0,095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z=1.90 m · tensione acciaio</w:t>
              <w:br/>
              <w:t>Caratteristica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82,732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fessurazione</w:t>
              <w:br/>
              <w:t>Quasi permanente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0,097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0,323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fessurazione</w:t>
              <w:br/>
              <w:t>Quasi permanente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0,039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z=1.90 m · fessurazione</w:t>
              <w:br/>
              <w:t>Quasi permanente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0,065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0,216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N–M GPC</w:t>
              <w:br/>
              <w:t>SLU 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57,6 / 116,281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0,495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taglio senza staffe</w:t>
              <w:br/>
              <w:t>SLU 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 / 138,988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0,36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N–M GPC</w:t>
              <w:br/>
              <w:t>SLU 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21,624 / 161,048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taglio senza staffe</w:t>
              <w:br/>
              <w:t>SLU 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53,725 / 161,084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z=1.90 m · N–M GPC</w:t>
              <w:br/>
              <w:t>SLU 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45,17 / 161,054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z=1.90 m · taglio senza staffe</w:t>
              <w:br/>
              <w:t>SLU 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46,655 / 161,084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Combinazioni e equilibrio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2674"/>
        <w:gridCol w:w="1337"/>
        <w:gridCol w:w="1337"/>
        <w:gridCol w:w="1338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muro/terra/acqua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H [kN/m]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V′ [kN/m]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[kN/m]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Caratteristica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46,013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174,1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Frequente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40,347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164,6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160,8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34,68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155,1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2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51,68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183,6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3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45,084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185,88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62,084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214,38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34,68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170,85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51,68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199,35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45,084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201,63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62,084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230,13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529"/>
        <w:gridCol w:w="1644"/>
        <w:gridCol w:w="1644"/>
        <w:gridCol w:w="1011"/>
        <w:gridCol w:w="1011"/>
        <w:gridCol w:w="1521"/>
      </w:tblGrid>
      <w:tr>
        <w:trPr>
          <w:cantSplit/>
          <w:tblHeader/>
        </w:trPr>
        <w:tc>
          <w:tcPr>
            <w:tcW w:w="252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Mstab [kNm/m]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Mrib [kNm/m]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 [m]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B′ [m]</w:t>
            </w:r>
          </w:p>
        </w:tc>
        <w:tc>
          <w:tcPr>
            <w:tcW w:w="15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pmax [kPa]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Caratteristica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315,655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58,571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2,953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60,744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Frequente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296,18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48,937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-0,002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2,996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55,095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288,39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45,084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-0,013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2,974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55,004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276,705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39,304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-0,031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2,939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54,867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335,13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68,204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2,908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66,849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339,804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51,095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-0,053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2,894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68,553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398,229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79,995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2,969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73,684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296,618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39,304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-0,006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2,988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57,642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355,043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68,204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0,061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2,878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74,574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359,717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51,095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-0,031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2,939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71,328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418,142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79,995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0,031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2,939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81,409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Convenzioni: x dal bordo a valle, e positivo verso valle, pressioni positive a compressione. N positivo a compressione. M del fusto positivo per trazione a monte; M delle mensole positivo per trazione inferiore. Sottospinta inclusa nel momento ribaltante. B′ è la larghezza efficace per la portanza, distinta dalla larghezza di contatto.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Sollecitazioni alle radici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1560"/>
        <w:gridCol w:w="1560"/>
        <w:gridCol w:w="156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[kN/m]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 [kNm/m]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 [kN/m]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Caratteristica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Caratteristica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16,084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40,017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Caratteristica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-31,647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-32,225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Frequente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Frequente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14,297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35,759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Frequente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-25,272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-26,694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13,583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34,056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-22,723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-24,482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12,511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31,502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-18,898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-21,163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49,5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17,87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44,274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-38,021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-37,756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14,893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37,7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-26,048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-30,063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57,6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20,252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50,473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-45,17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-46,655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29,25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13,882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34,754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-17,418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-18,613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29,25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49,5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19,242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47,526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-36,541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-35,205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29,25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16,264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40,952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-24,568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-27,512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29,25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57,6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21,624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53,725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-43,69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-44,105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Tutte le sezioni campionate sono disponibili nell’export JSON; il CSV contiene tutti i controlli. Un controllo non disponibile è mantenuto nell’inviluppo e non sostituito da un esito favorevole.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Portanza sismica con inerzia del terreno</w:t>
      </w:r>
    </w:p>
    <w:p>
      <w:pPr>
        <w:spacing w:after="70"/>
      </w:pPr>
      <w:r>
        <w:rPr>
          <w:rFonts w:ascii="Calibri" w:hAnsi="Calibri"/>
          <w:sz w:val="19"/>
        </w:rPr>
        <w:t>EN 1998-5:2004 allegato F, modello drenato per fondazione nastriforme su terreno granulare asciutto. Nmax=0,5 γ(1−av/g) B² Nγ; Nγ=2(Nq−1)tanφd. Ricoprimento favorevole escluso. Il dominio considera insieme N, V e M, senza ulteriori riduzioni di B o inclinazione. F=γRD ah/(g tanφd); N̄=γRD γR N/Nmax; V̄=γRD γR |V|/Nmax; M̄=γRD γR |M|/(B Nmax).</w:t>
      </w:r>
    </w:p>
    <w:p>
      <w:pPr>
        <w:spacing w:after="70"/>
      </w:pPr>
      <w:r>
        <w:rPr>
          <w:rFonts w:ascii="Calibri" w:hAnsi="Calibri"/>
          <w:sz w:val="19"/>
        </w:rPr>
        <w:t>I=[(1−0,41F)^1,14(2,90V̄)^1,14+(1−0,32F)^1,01(2,80M̄)^1,01] / [N̄^0,92 ((1−0,96F)^0,39−N̄)^1,25] ≤1. 0&lt;N̄&lt;(1−0,96F)^0,39. Il tasso η è l’inverso del moltiplicatore limite lungo il raggio N,V,M; non coincide con I. γR è quello della combinazione; γRD=1.15. Origine accelerazione: Da sito. Da sito: ah/g=ag/g·Ss·St, |av|/g=0,5 ah/g; assegnata: ah/g=, |av|/g=.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991"/>
        <w:gridCol w:w="1493"/>
        <w:gridCol w:w="1991"/>
        <w:gridCol w:w="1394"/>
        <w:gridCol w:w="2491"/>
      </w:tblGrid>
      <w:tr>
        <w:trPr>
          <w:cantSplit/>
          <w:tblHeader/>
        </w:trPr>
        <w:tc>
          <w:tcPr>
            <w:tcW w:w="19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49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Nmax / F</w:t>
            </w:r>
          </w:p>
        </w:tc>
        <w:tc>
          <w:tcPr>
            <w:tcW w:w="19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N̄ / V̄ / M̄</w:t>
            </w:r>
          </w:p>
        </w:tc>
        <w:tc>
          <w:tcPr>
            <w:tcW w:w="13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I / η</w:t>
            </w:r>
          </w:p>
        </w:tc>
        <w:tc>
          <w:tcPr>
            <w:tcW w:w="24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Cedimenti e spostamenti in esercizio</w:t>
      </w:r>
    </w:p>
    <w:p>
      <w:pPr>
        <w:spacing w:after="70"/>
      </w:pPr>
      <w:r>
        <w:rPr>
          <w:rFonts w:ascii="Calibri" w:hAnsi="Calibri"/>
          <w:sz w:val="19"/>
        </w:rPr>
        <w:t>Cedimenti richiesti: False; spostamenti richiesti: False. Pressione rimossa= kPa; limite cedimento=25 mm, rotazione=0.002 rad, spostamento testa=20 mm. Rigidezza orizzontale per metro= kN/m². Substrato rigido documentato: False.</w:t>
      </w:r>
    </w:p>
    <w:p>
      <w:pPr>
        <w:spacing w:after="70"/>
      </w:pPr>
      <w:r>
        <w:rPr>
          <w:rFonts w:ascii="Calibri" w:hAnsi="Calibri"/>
          <w:sz w:val="19"/>
        </w:rPr>
        <w:t>Cedimento finale edometrico s=∫Δσz/M dz; tensioni Boussinesq della striscia con contatto lineare, al netto del terreno rimosso. Moduli assegnati e costanti per strato; niente storia di consolidazione o tempo di drenaggio. Confronto fra due discretizzazioni; profondità sufficiente a Δσz≤10% del carico netto o substrato rigido documentato. La rotazione deriva dal profilo di cedimento libero; non è una soluzione accoppiata della fondazione rigida. Flessione del fusto: doppia integrazione delle curvature GPC fessurate con viscosità per il c.a.; modello elastico senza trazione per gravità. u totale = u fusto + H/K − θ Hmuro. I limiti sono assegnati dal progettista.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320"/>
        <w:gridCol w:w="2160"/>
        <w:gridCol w:w="2880"/>
      </w:tblGrid>
      <w:tr>
        <w:trPr>
          <w:cantSplit/>
          <w:tblHeader/>
        </w:trPr>
        <w:tc>
          <w:tcPr>
            <w:tcW w:w="43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Strato sotto posa</w:t>
            </w:r>
          </w:p>
        </w:tc>
        <w:tc>
          <w:tcPr>
            <w:tcW w:w="21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Spessore [m]</w:t>
            </w:r>
          </w:p>
        </w:tc>
        <w:tc>
          <w:tcPr>
            <w:tcW w:w="28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 edometrico [kPa]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890"/>
        <w:gridCol w:w="1890"/>
        <w:gridCol w:w="1134"/>
        <w:gridCol w:w="1607"/>
        <w:gridCol w:w="2839"/>
      </w:tblGrid>
      <w:tr>
        <w:trPr>
          <w:cantSplit/>
          <w:tblHeader/>
        </w:trPr>
        <w:tc>
          <w:tcPr>
            <w:tcW w:w="189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89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s valle/centro/monte [mm]</w:t>
            </w:r>
          </w:p>
        </w:tc>
        <w:tc>
          <w:tcPr>
            <w:tcW w:w="113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θ [rad]</w:t>
            </w:r>
          </w:p>
        </w:tc>
        <w:tc>
          <w:tcPr>
            <w:tcW w:w="160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fusto/totale [mm]</w:t>
            </w:r>
          </w:p>
        </w:tc>
        <w:tc>
          <w:tcPr>
            <w:tcW w:w="283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Stato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Contributi degli strati lungo la verticale centrale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510"/>
        <w:gridCol w:w="2340"/>
        <w:gridCol w:w="1755"/>
        <w:gridCol w:w="1755"/>
      </w:tblGrid>
      <w:tr>
        <w:trPr>
          <w:cantSplit/>
          <w:tblHeader/>
        </w:trPr>
        <w:tc>
          <w:tcPr>
            <w:tcW w:w="351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strato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z₀–z₁ [m]</w:t>
            </w:r>
          </w:p>
        </w:tc>
        <w:tc>
          <w:tcPr>
            <w:tcW w:w="175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 [kPa]</w:t>
            </w:r>
          </w:p>
        </w:tc>
        <w:tc>
          <w:tcPr>
            <w:tcW w:w="175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Δs [mm]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Spostamenti sismici permanenti Newmark</w:t>
      </w:r>
    </w:p>
    <w:p>
      <w:pPr>
        <w:spacing w:after="70"/>
      </w:pPr>
      <w:r>
        <w:rPr>
          <w:rFonts w:ascii="Calibri" w:hAnsi="Calibri"/>
          <w:sz w:val="19"/>
        </w:rPr>
        <w:t>Integrazione esatta per tratti lineari di a(t)−ky·g, con velocità non negativa verso valle e arresto dopo il termine della registrazione. Modello di blocco rigido libero; escluso Wood. ky/g e compatibilità delle storie con sito e stato limite sono responsabilità dell’analisi geotecnica. Ogni storia SLD o SLV viene controllata singolarmente: non viene dedotta la conformità normativa dell’insieme di accelerogrammi dal solo ag/g.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012"/>
        <w:gridCol w:w="2012"/>
        <w:gridCol w:w="805"/>
        <w:gridCol w:w="1509"/>
        <w:gridCol w:w="3022"/>
      </w:tblGrid>
      <w:tr>
        <w:trPr>
          <w:cantSplit/>
          <w:tblHeader/>
        </w:trPr>
        <w:tc>
          <w:tcPr>
            <w:tcW w:w="201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Storia / stato</w:t>
            </w:r>
          </w:p>
        </w:tc>
        <w:tc>
          <w:tcPr>
            <w:tcW w:w="201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ky/g / scala / PGA/g</w:t>
            </w:r>
          </w:p>
        </w:tc>
        <w:tc>
          <w:tcPr>
            <w:tcW w:w="80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Campioni</w:t>
            </w:r>
          </w:p>
        </w:tc>
        <w:tc>
          <w:tcPr>
            <w:tcW w:w="150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d / limite [mm]</w:t>
            </w:r>
          </w:p>
        </w:tc>
        <w:tc>
          <w:tcPr>
            <w:tcW w:w="302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I campioni integrati completi e le curvature sono interrogabili nelle tabelle del modulo e conservati nel risultato JSON; gli accelerogrammi di input restano nel file del muro.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Distinta di predimensionamento delle armature</w:t>
      </w:r>
    </w:p>
    <w:p>
      <w:pPr>
        <w:spacing w:after="70"/>
      </w:pPr>
      <w:r>
        <w:rPr>
          <w:rFonts w:ascii="Calibri" w:hAnsi="Calibri"/>
          <w:sz w:val="19"/>
        </w:rPr>
        <w:t>Schema di predimensionamento per metro: principali, rete secondaria e collegamenti della giunzione. Ancoraggi a fyd senza riduzioni favorevoli; 100% giunzioni a h₁. Sfridi, giunti di costruzione, estremità lungo muro e piano di posa delle barre fuori piano richiedono il disegno esecutivo. Non è una distinta di officina. Dettagli inclusi nel riepilogo: False. Principale fusto: monte/valle; solette: inferiore/superiore. Barre principali e secondarie disposte sulle due facce.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752"/>
        <w:gridCol w:w="1761"/>
        <w:gridCol w:w="880"/>
        <w:gridCol w:w="1982"/>
        <w:gridCol w:w="1985"/>
      </w:tblGrid>
      <w:tr>
        <w:trPr>
          <w:cantSplit/>
          <w:tblHeader/>
        </w:trPr>
        <w:tc>
          <w:tcPr>
            <w:tcW w:w="275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Marca / zona / faccia</w:t>
            </w:r>
          </w:p>
        </w:tc>
        <w:tc>
          <w:tcPr>
            <w:tcW w:w="176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Ø / As [mm²/m]</w:t>
            </w:r>
          </w:p>
        </w:tc>
        <w:tc>
          <w:tcPr>
            <w:tcW w:w="8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L [m]</w:t>
            </w:r>
          </w:p>
        </w:tc>
        <w:tc>
          <w:tcPr>
            <w:tcW w:w="198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lbd richiesto/usato [mm]</w:t>
            </w:r>
          </w:p>
        </w:tc>
        <w:tc>
          <w:tcPr>
            <w:tcW w:w="19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l0 richiesto/usato [mm]</w:t>
            </w:r>
          </w:p>
        </w:tc>
      </w:tr>
      <w:tr>
        <w:trPr>
          <w:cantSplit/>
        </w:trPr>
        <w:tc>
          <w:tcPr>
            <w:tcW w:w="275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P1 / stem / monte</w:t>
            </w:r>
          </w:p>
        </w:tc>
        <w:tc>
          <w:tcPr>
            <w:tcW w:w="176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 Ø16 / 1206,372</w:t>
            </w:r>
          </w:p>
        </w:tc>
        <w:tc>
          <w:tcPr>
            <w:tcW w:w="8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3,692</w:t>
            </w:r>
          </w:p>
        </w:tc>
        <w:tc>
          <w:tcPr>
            <w:tcW w:w="198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735,222 / 740</w:t>
            </w:r>
          </w:p>
        </w:tc>
        <w:tc>
          <w:tcPr>
            <w:tcW w:w="19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275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P2 / stem / valle</w:t>
            </w:r>
          </w:p>
        </w:tc>
        <w:tc>
          <w:tcPr>
            <w:tcW w:w="176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 Ø16 / 1206,372</w:t>
            </w:r>
          </w:p>
        </w:tc>
        <w:tc>
          <w:tcPr>
            <w:tcW w:w="8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3,692</w:t>
            </w:r>
          </w:p>
        </w:tc>
        <w:tc>
          <w:tcPr>
            <w:tcW w:w="198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735,222 / 740</w:t>
            </w:r>
          </w:p>
        </w:tc>
        <w:tc>
          <w:tcPr>
            <w:tcW w:w="19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275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P3 / toe / inferiore</w:t>
            </w:r>
          </w:p>
        </w:tc>
        <w:tc>
          <w:tcPr>
            <w:tcW w:w="176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 Ø16 / 1206,372</w:t>
            </w:r>
          </w:p>
        </w:tc>
        <w:tc>
          <w:tcPr>
            <w:tcW w:w="8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1,492</w:t>
            </w:r>
          </w:p>
        </w:tc>
        <w:tc>
          <w:tcPr>
            <w:tcW w:w="198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735,222 / 740</w:t>
            </w:r>
          </w:p>
        </w:tc>
        <w:tc>
          <w:tcPr>
            <w:tcW w:w="19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275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P4 / toe / superiore</w:t>
            </w:r>
          </w:p>
        </w:tc>
        <w:tc>
          <w:tcPr>
            <w:tcW w:w="176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 Ø16 / 1206,372</w:t>
            </w:r>
          </w:p>
        </w:tc>
        <w:tc>
          <w:tcPr>
            <w:tcW w:w="8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1,492</w:t>
            </w:r>
          </w:p>
        </w:tc>
        <w:tc>
          <w:tcPr>
            <w:tcW w:w="198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735,222 / 740</w:t>
            </w:r>
          </w:p>
        </w:tc>
        <w:tc>
          <w:tcPr>
            <w:tcW w:w="19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275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P5 / heel / inferiore</w:t>
            </w:r>
          </w:p>
        </w:tc>
        <w:tc>
          <w:tcPr>
            <w:tcW w:w="176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 Ø16 / 1206,372</w:t>
            </w:r>
          </w:p>
        </w:tc>
        <w:tc>
          <w:tcPr>
            <w:tcW w:w="8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2,592</w:t>
            </w:r>
          </w:p>
        </w:tc>
        <w:tc>
          <w:tcPr>
            <w:tcW w:w="198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735,222 / 740</w:t>
            </w:r>
          </w:p>
        </w:tc>
        <w:tc>
          <w:tcPr>
            <w:tcW w:w="19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275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P6 / heel / superiore</w:t>
            </w:r>
          </w:p>
        </w:tc>
        <w:tc>
          <w:tcPr>
            <w:tcW w:w="176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 Ø16 / 1206,372</w:t>
            </w:r>
          </w:p>
        </w:tc>
        <w:tc>
          <w:tcPr>
            <w:tcW w:w="8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2,592</w:t>
            </w:r>
          </w:p>
        </w:tc>
        <w:tc>
          <w:tcPr>
            <w:tcW w:w="198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735,222 / 740</w:t>
            </w:r>
          </w:p>
        </w:tc>
        <w:tc>
          <w:tcPr>
            <w:tcW w:w="19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337"/>
        <w:gridCol w:w="2674"/>
        <w:gridCol w:w="2674"/>
        <w:gridCol w:w="2675"/>
      </w:tblGrid>
      <w:tr>
        <w:trPr>
          <w:cantSplit/>
          <w:tblHeader/>
        </w:trPr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Marca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Mandrino [mm]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fbd [MPa]</w:t>
            </w:r>
          </w:p>
        </w:tc>
        <w:tc>
          <w:tcPr>
            <w:tcW w:w="267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Interasse [mm]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2,129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180,8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P2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2,129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180,8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P3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2,129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180,8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P4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2,129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180,8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P5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2,129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180,8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P6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2,129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180,8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5349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Zona</w:t>
            </w:r>
          </w:p>
        </w:tc>
        <w:tc>
          <w:tcPr>
            <w:tcW w:w="534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Rete secondaria Ø / passo [mm]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/ 200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toe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/ 200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heel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/ 200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Quantità complessiva stimata: 184,267 kg/m. Aderenza buona: False; aggregato 20 mm; vita 50 anni; tolleranza copriferro 10 mm. Giunzioni: 100% alla stessa quota; collegamenti Ø8/200 mm. Ancoraggi calcolati a fyd, α1…α5=1; sovrapposizioni con α6 e minimi NTC. Mandrino controllato per piegatura acciaio e pressione CLS.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510"/>
        <w:gridCol w:w="2340"/>
        <w:gridCol w:w="1170"/>
        <w:gridCol w:w="2340"/>
      </w:tblGrid>
      <w:tr>
        <w:trPr>
          <w:cantSplit/>
          <w:tblHeader/>
        </w:trPr>
        <w:tc>
          <w:tcPr>
            <w:tcW w:w="351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Dettaglio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Richiesto / disponibile</w:t>
            </w:r>
          </w:p>
        </w:tc>
        <w:tc>
          <w:tcPr>
            <w:tcW w:w="11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η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monte · interferro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 / 164,8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0,152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monte · interasse principale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180,8 / 400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monte · copriferro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40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monte · armatura secondaria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301,593 / 392,699 mm²/m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0,768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monte · passo secondaria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200 / 400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monte · mandrino (acciaio e pressione CLS)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241,043 / 250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0,964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monte · altezza per la piega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133 / 304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0,438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monte · ingombro coda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445,084 / 1900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monte · ancoraggio al piede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735,222 / 740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valle · interferro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 / 164,8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0,152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valle · interasse principale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180,8 / 400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valle · copriferro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40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valle · armatura secondaria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301,593 / 392,699 mm²/m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0,768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valle · passo secondaria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200 / 400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valle · mandrino (acciaio e pressione CLS)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241,043 / 250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0,964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valle · altezza per la piega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133 / 304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0,438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valle · ingombro coda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445,084 / 800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0,556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valle · ancoraggio al piede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735,222 / 740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toe · inferiore · interferro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 / 164,8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0,152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toe · inferiore · interasse principale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180,8 / 250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0,723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toe · inferiore · copriferro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40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toe · inferiore · armatura secondaria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241,274 / 392,699 mm²/m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0,614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toe · inferiore · passo secondaria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200 / 400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toe · inferiore · ancoraggio oltre la radice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735,222 / 740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toe · inferiore · ingombro ancoraggio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740 / 2152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toe · superiore · interferro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 / 164,8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0,152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toe · superiore · interasse principale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180,8 / 250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0,723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toe · superiore · copriferro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40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toe · superiore · armatura secondaria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241,274 / 392,699 mm²/m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0,614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toe · superiore · passo secondaria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200 / 400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toe · superiore · ancoraggio oltre la radice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735,222 / 740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toe · superiore · ingombro ancoraggio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740 / 2152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heel · inferiore · interferro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 / 164,8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0,152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heel · inferiore · interasse principale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180,8 / 250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0,723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heel · inferiore · copriferro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40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heel · inferiore · armatura secondaria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241,274 / 392,699 mm²/m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0,614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heel · inferiore · passo secondaria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200 / 400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heel · inferiore · ancoraggio oltre la radice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735,222 / 740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heel · inferiore · ingombro ancoraggio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740 / 1052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0,703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heel · superiore · interferro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 / 164,8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0,152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heel · superiore · interasse principale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180,8 / 250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0,723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heel · superiore · copriferro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40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heel · superiore · armatura secondaria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241,274 / 392,699 mm²/m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0,614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heel · superiore · passo secondaria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200 / 400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heel · superiore · ancoraggio oltre la radice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735,222 / 740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heel · superiore · ingombro ancoraggio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740 / 1052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0,703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Fonti dei nuovi modelli: JRC Eurocode 8 Seismic Design of Buildings Worked Examples (2011), §4.8; JRC Eurocode 2 Background and Applications, Arrieta, Anchorage and lap splicing (2011); USACE EM 1110-1-1905 (2025); USGS SIR 2007-5196; NTC 2018 §§4.1.11 e 7.8.2.2.3. I motori geotecnici sono separati dall’interfaccia e dai materiali GPC.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Stabilità globale del complesso muro–terreno</w:t>
      </w:r>
    </w:p>
    <w:p>
      <w:pPr>
        <w:spacing w:after="70"/>
      </w:pPr>
      <w:r>
        <w:rPr>
          <w:rFonts w:ascii="Calibri" w:hAnsi="Calibri"/>
          <w:sz w:val="19"/>
        </w:rPr>
        <w:t>Analisi non attivata. Nessun esito di stabilità globale disponibile.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Riferimenti</w:t>
      </w:r>
    </w:p>
    <w:p>
      <w:pPr>
        <w:spacing w:after="70"/>
      </w:pPr>
      <w:r>
        <w:rPr>
          <w:rFonts w:ascii="Calibri" w:hAnsi="Calibri"/>
          <w:sz w:val="19"/>
        </w:rPr>
        <w:t>D.M. 17/01/2018, NTC 2018 §§4.1, 6.2.4, 6.5 e 7.11: https://www.gazzettaufficiale.it/eli/id/2018/2/20/18A00716/sg</w:t>
      </w:r>
    </w:p>
    <w:p>
      <w:pPr>
        <w:spacing w:after="70"/>
      </w:pPr>
      <w:r>
        <w:rPr>
          <w:rFonts w:ascii="Calibri" w:hAnsi="Calibri"/>
          <w:sz w:val="19"/>
        </w:rPr>
        <w:t>JRC 2013, Eurocode 7: Geotechnical Design – Worked examples, capitoli 3 e 4: https://eurocodes.jrc.ec.europa.eu/sites/default/files/2022-06/2013_06_WS_GEO.pdf</w:t>
      </w:r>
    </w:p>
    <w:p>
      <w:pPr>
        <w:spacing w:after="70"/>
      </w:pPr>
      <w:r>
        <w:rPr>
          <w:rFonts w:ascii="Calibri" w:hAnsi="Calibri"/>
          <w:sz w:val="19"/>
        </w:rPr>
        <w:t>Wood, 1973, Earthquake-induced soil pressures on structures: https://authors.library.caltech.edu/records/48499-83239; Yi, 2013, Seismic Design of Restrained Rigid Walls: https://www.cfms-sols.org/sites/default/files/Actes/3521-3524.pdf. Distribuzione uniforme dell’incremento esplicitamente assunta nel presente modello semplificato.</w:t>
      </w:r>
    </w:p>
    <w:sectPr>
      <w:footerReference w:type="default" r:id="footer"/>
      <w:pgSz w:w="11906" w:h="16838"/>
      <w:pgMar w:top="1134" w:bottom="1134" w:left="1273" w:right="1273" w:footer="567"/>
    </w:sectPr>
  </w:body>
</w:document>
</file>

<file path=word/footer.xml><?xml version="1.0" encoding="utf-8"?>
<ftr xmlns="http://schemas.openxmlformats.org/wordprocessingml/2006/main">
  <p>
    <pPr>
      <jc xmlns:p4="http://schemas.openxmlformats.org/wordprocessingml/2006/main" p4:val="right"/>
    </pPr>
    <r>
      <t xml:space="preserve">ANTHEA · Pagina </t>
    </r>
    <fldSimple xmlns:p3="http://schemas.openxmlformats.org/wordprocessingml/2006/main" p3:instr="PAGE">
      <p3:r>
        <p3:t>1</p3:t>
      </p3:r>
    </fldSimple>
  </p>
</ftr>
</file>

<file path=word/styles.xml><?xml version="1.0" encoding="utf-8"?>
<styles xmlns="http://schemas.openxmlformats.org/wordprocessingml/2006/main">
  <style xmlns:p2="http://schemas.openxmlformats.org/wordprocessingml/2006/main" p2:type="paragraph" p2:styleId="Normal">
    <p2:name p2:val="Normal"/>
    <p2:pPr>
      <p2:spacing p2:before="0" p2:after="100"/>
      <p2:widowControl/>
    </p2:pPr>
    <p2:rPr>
      <p2:rFonts p2:ascii="Calibri" p2:hAnsi="Calibri"/>
      <p2:sz p2:val="21"/>
      <p2:color p2:val="000000"/>
    </p2:rPr>
  </style>
  <style xmlns:p2="http://schemas.openxmlformats.org/wordprocessingml/2006/main" p2:type="paragraph" p2:styleId="Title">
    <p2:name p2:val="Title"/>
    <p2:pPr>
      <p2:spacing p2:before="0" p2:after="100"/>
      <p2:widowControl/>
      <p2:keepNext/>
    </p2:pPr>
    <p2:rPr>
      <p2:rFonts p2:ascii="Calibri" p2:hAnsi="Calibri"/>
      <p2:sz p2:val="36"/>
      <p2:color p2:val="000000"/>
      <p2:b/>
    </p2:rPr>
  </style>
  <style xmlns:p2="http://schemas.openxmlformats.org/wordprocessingml/2006/main" p2:type="paragraph" p2:styleId="Subtitle">
    <p2:name p2:val="Subtitle"/>
    <p2:pPr>
      <p2:spacing p2:before="0" p2:after="100"/>
      <p2:widowControl/>
      <p2:keepNext/>
    </p2:pPr>
    <p2:rPr>
      <p2:rFonts p2:ascii="Calibri" p2:hAnsi="Calibri"/>
      <p2:sz p2:val="28"/>
      <p2:color p2:val="000000"/>
    </p2:rPr>
  </style>
  <style xmlns:p2="http://schemas.openxmlformats.org/wordprocessingml/2006/main" p2:type="paragraph" p2:styleId="TableText">
    <p2:name p2:val="TableText"/>
    <p2:pPr>
      <p2:spacing p2:before="0" p2:after="35"/>
      <p2:widowControl/>
    </p2:pPr>
    <p2:rPr>
      <p2:rFonts p2:ascii="Calibri" p2:hAnsi="Calibri"/>
      <p2:sz p2:val="19"/>
      <p2:color p2:val="000000"/>
    </p2:rPr>
  </style>
  <style xmlns:p2="http://schemas.openxmlformats.org/wordprocessingml/2006/main" p2:type="paragraph" p2:styleId="TableHeader">
    <p2:name p2:val="TableHeader"/>
    <p2:pPr>
      <p2:spacing p2:before="0" p2:after="35"/>
      <p2:widowControl/>
      <p2:keepNext/>
    </p2:pPr>
    <p2:rPr>
      <p2:rFonts p2:ascii="Calibri" p2:hAnsi="Calibri"/>
      <p2:sz p2:val="19"/>
      <p2:color p2:val="000000"/>
      <p2:b/>
    </p2:rPr>
  </style>
  <style xmlns:p2="http://schemas.openxmlformats.org/wordprocessingml/2006/main" p2:type="paragraph" p2:styleId="Caption">
    <p2:name p2:val="Caption"/>
    <p2:pPr>
      <p2:spacing p2:before="0" p2:after="100"/>
      <p2:widowControl/>
      <p2:keepNext/>
    </p2:pPr>
    <p2:rPr>
      <p2:rFonts p2:ascii="Calibri" p2:hAnsi="Calibri"/>
      <p2:sz p2:val="20"/>
      <p2:color p2:val="000000"/>
    </p2:rPr>
  </style>
  <style xmlns:p2="http://schemas.openxmlformats.org/wordprocessingml/2006/main" p2:type="paragraph" p2:styleId="Notice">
    <p2:name p2:val="Notice"/>
    <p2:pPr>
      <p2:spacing p2:before="0" p2:after="100"/>
      <p2:widowControl/>
    </p2:pPr>
    <p2:rPr>
      <p2:rFonts p2:ascii="Calibri" p2:hAnsi="Calibri"/>
      <p2:sz p2:val="21"/>
      <p2:color p2:val="000000"/>
      <p2:b/>
    </p2:rPr>
  </style>
  <style xmlns:p2="http://schemas.openxmlformats.org/wordprocessingml/2006/main" p2:type="paragraph" p2:styleId="Heading1">
    <p2:name p2:val="Heading1"/>
    <p2:pPr>
      <p2:spacing p2:before="220" p2:after="100"/>
      <p2:widowControl/>
      <p2:keepNext/>
      <p2:outlineLvl p2:val="0"/>
    </p2:pPr>
    <p2:rPr>
      <p2:rFonts p2:ascii="Calibri" p2:hAnsi="Calibri"/>
      <p2:sz p2:val="30"/>
      <p2:color p2:val="000000"/>
      <p2:b/>
    </p2:rPr>
  </style>
  <style xmlns:p2="http://schemas.openxmlformats.org/wordprocessingml/2006/main" p2:type="paragraph" p2:styleId="Heading2">
    <p2:name p2:val="Heading2"/>
    <p2:pPr>
      <p2:spacing p2:before="220" p2:after="100"/>
      <p2:widowControl/>
      <p2:keepNext/>
      <p2:outlineLvl p2:val="1"/>
    </p2:pPr>
    <p2:rPr>
      <p2:rFonts p2:ascii="Calibri" p2:hAnsi="Calibri"/>
      <p2:sz p2:val="26"/>
      <p2:color p2:val="000000"/>
      <p2:b/>
    </p2:rPr>
  </style>
  <style xmlns:p2="http://schemas.openxmlformats.org/wordprocessingml/2006/main" p2:type="paragraph" p2:styleId="Heading3">
    <p2:name p2:val="Heading3"/>
    <p2:pPr>
      <p2:spacing p2:before="220" p2:after="100"/>
      <p2:widowControl/>
      <p2:keepNext/>
      <p2:outlineLvl p2:val="2"/>
    </p2:pPr>
    <p2:rPr>
      <p2:rFonts p2:ascii="Calibri" p2:hAnsi="Calibri"/>
      <p2:sz p2:val="23"/>
      <p2:color p2:val="000000"/>
      <p2:b/>
    </p2:rPr>
  </style>
  <style xmlns:p2="http://schemas.openxmlformats.org/wordprocessingml/2006/main" p2:type="paragraph" p2:styleId="Heading4">
    <p2:name p2:val="Heading4"/>
    <p2:pPr>
      <p2:spacing p2:before="220" p2:after="100"/>
      <p2:widowControl/>
      <p2:keepNext/>
      <p2:outlineLvl p2:val="3"/>
    </p2:pPr>
    <p2:rPr>
      <p2:rFonts p2:ascii="Calibri" p2:hAnsi="Calibri"/>
      <p2:sz p2:val="23"/>
      <p2:color p2:val="000000"/>
      <p2:b/>
    </p2:rPr>
  </style>
  <style xmlns:p2="http://schemas.openxmlformats.org/wordprocessingml/2006/main" p2:type="paragraph" p2:styleId="Heading5">
    <p2:name p2:val="Heading5"/>
    <p2:pPr>
      <p2:spacing p2:before="220" p2:after="100"/>
      <p2:widowControl/>
      <p2:keepNext/>
      <p2:outlineLvl p2:val="4"/>
    </p2:pPr>
    <p2:rPr>
      <p2:rFonts p2:ascii="Calibri" p2:hAnsi="Calibri"/>
      <p2:sz p2:val="23"/>
      <p2:color p2:val="000000"/>
      <p2:b/>
    </p2:rPr>
  </style>
  <style xmlns:p2="http://schemas.openxmlformats.org/wordprocessingml/2006/main" p2:type="paragraph" p2:styleId="Heading6">
    <p2:name p2:val="Heading6"/>
    <p2:pPr>
      <p2:spacing p2:before="220" p2:after="100"/>
      <p2:widowControl/>
      <p2:keepNext/>
      <p2:outlineLvl p2:val="5"/>
    </p2:pPr>
    <p2:rPr>
      <p2:rFonts p2:ascii="Calibri" p2:hAnsi="Calibri"/>
      <p2:sz p2:val="23"/>
      <p2:color p2:val="000000"/>
      <p2:b/>
    </p2:rPr>
  </style>
  <style xmlns:p2="http://schemas.openxmlformats.org/wordprocessingml/2006/main" p2:type="paragraph" p2:styleId="Heading7">
    <p2:name p2:val="Heading7"/>
    <p2:pPr>
      <p2:spacing p2:before="220" p2:after="100"/>
      <p2:widowControl/>
      <p2:keepNext/>
      <p2:outlineLvl p2:val="6"/>
    </p2:pPr>
    <p2:rPr>
      <p2:rFonts p2:ascii="Calibri" p2:hAnsi="Calibri"/>
      <p2:sz p2:val="23"/>
      <p2:color p2:val="000000"/>
      <p2:b/>
    </p2:rPr>
  </style>
  <style xmlns:p2="http://schemas.openxmlformats.org/wordprocessingml/2006/main" p2:type="paragraph" p2:styleId="Heading8">
    <p2:name p2:val="Heading8"/>
    <p2:pPr>
      <p2:spacing p2:before="220" p2:after="100"/>
      <p2:widowControl/>
      <p2:keepNext/>
      <p2:outlineLvl p2:val="7"/>
    </p2:pPr>
    <p2:rPr>
      <p2:rFonts p2:ascii="Calibri" p2:hAnsi="Calibri"/>
      <p2:sz p2:val="23"/>
      <p2:color p2:val="000000"/>
      <p2:b/>
    </p2:rPr>
  </style>
  <style xmlns:p2="http://schemas.openxmlformats.org/wordprocessingml/2006/main" p2:type="paragraph" p2:styleId="Heading9">
    <p2:name p2:val="Heading9"/>
    <p2:pPr>
      <p2:spacing p2:before="220" p2:after="100"/>
      <p2:widowControl/>
      <p2:keepNext/>
      <p2:outlineLvl p2:val="8"/>
    </p2:pPr>
    <p2:rPr>
      <p2:rFonts p2:ascii="Calibri" p2:hAnsi="Calibri"/>
      <p2:sz p2:val="23"/>
      <p2:color p2:val="000000"/>
      <p2:b/>
    </p2:rPr>
  </style>
</styles>
</file>

<file path=word/_rels/document.xml.rels><Relationships xmlns="http://schemas.openxmlformats.org/package/2006/relationships">
  <Relationship Id="styles" Type="http://schemas.openxmlformats.org/officeDocument/2006/relationships/styles" Target="styles.xml" />
  <Relationship Id="footer" Type="http://schemas.openxmlformats.org/officeDocument/2006/relationships/footer" Target="footer.xml" />
</Relationships>
</file>