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Sisma da parametri del sito</w:t>
      </w:r>
    </w:p>
    <w:p>
      <w:pPr>
        <w:spacing w:after="70"/>
      </w:pPr>
      <w:r>
        <w:rPr>
          <w:rFonts w:ascii="Calibri" w:hAnsi="Calibri"/>
          <w:sz w:val="19"/>
        </w:rPr>
        <w:t>Muri di sostegno · Gravità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Bishop, cedimenti edometrici e spostamenti sono verifiche separate da attivare con i dati richiesti. Portanza sismica: EN 1998-5 allegato F, base ruvida e terreno granulare asciutto. Newmark: accelerogrammi e soglia di scorrimento assegnati, solo muro libero. Gravità: resistenze assegnate oppure CLS/muratura nel dominio senza trazione; fuori campo occorre analisi non lineare. Il disegno delle armature è un predimensionamento, da completare con dettagli esecutivi. Liquefazione, verifiche idrauliche e degradazione ciclica non incluse. Nessun esito complessivo dell’opera.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70"/>
      </w:pPr>
      <w:r>
        <w:rPr>
          <w:rFonts w:ascii="Calibri" w:hAnsi="Calibri"/>
          <w:sz w:val="19"/>
        </w:rPr>
        <w:t>Pseudostatica locale Mononobe–Okabe: incremento dinamico a metà altezza, inerzia di muro e terreno sulla mensola, ±kv. Direzione verso valle. Portanza sismica Annex F con accelerazione del terreno indipendente dal kh ridotto del muro: interazione N–V–M, γRD e γR espliciti; ricoprimento favorevole escluso. Spostamenti Newmark e stabilità globale Bishop richiedono l’attivazione dei rispettivi calcoli separati.</w:t>
      </w:r>
    </w:p>
    <w:p>
      <w:pPr>
        <w:spacing w:after="70"/>
      </w:pPr>
      <w:r>
        <w:rPr>
          <w:rFonts w:ascii="Calibri" w:hAnsi="Calibri"/>
          <w:sz w:val="19"/>
        </w:rPr>
        <w:t>SLV · Ss assegnato dal progettista / risposta sismica locale.</w:t>
        <w:br/>
        <w:t>St assegnato dal progettista / risposta sismica locale.</w:t>
        <w:br/>
        <w:t>Ss=1,3; St=1,2; amax/g = Ss × St × ag/g = 1,3 × 1,2 × 0,2 = 0,312.</w:t>
        <w:br/>
        <w:t>βm=0,38 → kh=βm × amax/g = 0,11856; kv=±0,5kh = ±0,05928.</w:t>
        <w:br/>
        <w:t>Ribaltamento: βm,rib=min(1; 1,5βm)=0,57 → kh,rib=0,17784; kv,rib=±0,08892.</w:t>
        <w:br/>
        <w:t>NTC 2018 §§3.2.2, 3.2.3.2.1 e 7.11.6.2.1. ag/g e F₀ devono riferirsi allo SLV del progetto. Casi generali e ribaltamento separati; γR del preset SLV: scorrimento 1, ribaltamento 1, portanza 1,2. Matrici personalizzate: fanno fede kh, kv e coefficienti di ogni riga; l’accelerazione della fondazione è definita separatamente.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2.2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compressione · σRd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taglio · τRd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trazione fondazione · fctd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79"/>
        <w:gridCol w:w="2759"/>
        <w:gridCol w:w="3239"/>
        <w:gridCol w:w="1683"/>
      </w:tblGrid>
      <w:tr>
        <w:trPr>
          <w:cantSplit/>
          <w:tblHeader/>
        </w:trPr>
        <w:tc>
          <w:tcPr>
            <w:tcW w:w="167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75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Quote e attriti</w:t>
            </w:r>
          </w:p>
        </w:tc>
        <w:tc>
          <w:tcPr>
            <w:tcW w:w="32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6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Portanza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0,468</w:t>
              <w:br/>
              <w:t>igamma = 0,32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0,519</w:t>
              <w:br/>
              <w:t>igamma = 0,374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0,54</w:t>
              <w:br/>
              <w:t>igamma = 0,397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0,573</w:t>
              <w:br/>
              <w:t>igamma = 0,434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0,655</w:t>
              <w:br/>
              <w:t>igamma = 0,53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0,48</w:t>
              <w:br/>
              <w:t>igamma = 0,332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0,573</w:t>
              <w:br/>
              <w:t>igamma = 0,434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0,421</w:t>
              <w:br/>
              <w:t>igamma = 0,273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0,522</w:t>
              <w:br/>
              <w:t>igamma = 0,377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0,347</w:t>
              <w:br/>
              <w:t>igamma = 0,204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0,453</w:t>
              <w:br/>
              <w:t>igamma = 0,305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0,321</w:t>
              <w:br/>
              <w:t>igamma = 0,181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0,296</w:t>
              <w:br/>
              <w:t>igamma = 0,161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0,235</w:t>
              <w:br/>
              <w:t>igamma = 0,114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0,186</w:t>
              <w:br/>
              <w:t>igamma = 0,08</w:t>
              <w:br/>
              <w:t>Base ruvida: 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Coefficienti delle spinte sul fusto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2674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[°]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 / Ke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Incremento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0,405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0,405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0,415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0,415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0,443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0,443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0,469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0,469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3,641–22,708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22,708–25,568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3,558–20,491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20,491–23,031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5,165–24,765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24,765–27,706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5,126–21,525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21,525–23,985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Pseudostatica: kh=0,11856; |kv|=0,05928. Vedere i limiti di applicazione sopra riportati.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Dati del sito per il calcolo dei coefficienti sismici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5348"/>
        <w:gridCol w:w="4012"/>
      </w:tblGrid>
      <w:tr>
        <w:trPr>
          <w:cantSplit/>
          <w:tblHeader/>
        </w:trPr>
        <w:tc>
          <w:tcPr>
            <w:tcW w:w="534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Dato</w:t>
            </w:r>
          </w:p>
        </w:tc>
        <w:tc>
          <w:tcPr>
            <w:tcW w:w="4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Modello delle spinte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Mononobe–Okabe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ag/g allo SLV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Definizione Ss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Definizione St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Ss assegnato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1.3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 assegnato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SLV · Ss assegnato dal progettista / risposta sismica locale.</w:t>
        <w:br/>
        <w:t>St assegnato dal progettista / risposta sismica locale.</w:t>
        <w:br/>
        <w:t>Ss=1,3; St=1,2; amax/g = Ss × St × ag/g = 1,3 × 1,2 × 0,2 = 0,312.</w:t>
        <w:br/>
        <w:t>βm=0,38 → kh=βm × amax/g = 0,11856; kv=±0,5kh = ±0,05928.</w:t>
        <w:br/>
        <w:t>Ribaltamento: βm,rib=min(1; 1,5βm)=0,57 → kh,rib=0,17784; kv,rib=±0,08892.</w:t>
        <w:br/>
        <w:t>NTC 2018 §§3.2.2, 3.2.3.2.1 e 7.11.6.2.1. ag/g e F₀ devono riferirsi allo SLV del progetto.</w:t>
      </w:r>
    </w:p>
    <w:p>
      <w:pPr>
        <w:spacing w:after="70"/>
      </w:pPr>
      <w:r>
        <w:rPr>
          <w:rFonts w:ascii="Calibri" w:hAnsi="Calibri"/>
          <w:sz w:val="19"/>
        </w:rPr>
        <w:t>Gravità: compressione e taglio confrontati con resistenze di progetto assegnate, da documentare per il materiale effettivo. Fusto verificato anche per assenza di trazione. Fondazione non armata verificata a flessione con fctd assegnata. Non è una verifica normativa completa di muratura o pietrame.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63,383 / 67,791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SLV Ribaltamento kv+ 15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104,536 / 228,636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138,991 / 59,317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0,257 / 1,35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compressione</w:t>
              <w:br/>
              <w:t>SLU 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0,082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assenza trazione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24,069 / 35,571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compressione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0,068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flessione fondazione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0,068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taglio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compressione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flessione fondazione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taglio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0,047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monte / valle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0,119 / -0,059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0,119 / 0,059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-0,089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0,089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0,405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0–19,067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2,354 / 3,641–22,708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0,405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19,067–21,927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2,354 / 22,708–25,568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0,415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0–16,933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2,387 / 3,558–20,491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0,415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16,933–19,473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2,387 / 20,491–23,031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0,443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0–19,601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1,448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3,717 / 5,165–24,765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0,443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19,601–22,541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1,448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3,717 / 24,765–27,706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0,469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0–16,399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1,282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3,844 / 5,126–21,525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0,469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16,399–18,859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1,282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3,844 / 21,525–23,985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149,5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148,25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147,75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187,05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151,05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191,1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150,75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190,8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154,8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194,85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67,903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156,509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63,383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138,991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82,978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160,888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76,493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134,612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255,456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61,354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252,238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55,827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250,95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58,403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249,019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62,268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313,296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85,504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259,448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57,712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323,724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80,948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258,675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68,72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322,952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75,151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269,104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76,276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333,381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82,706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265,826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89,578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86,804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236,074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84,216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80,928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273,264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112,071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105,683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228,636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104,536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97,286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12,387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-6,327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10,033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-7,031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-17,241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9,982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-5,975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11,731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-1,205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14,069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-9,028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15,028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-4,257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15,818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-14,076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-9,306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109,238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18,054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-10,124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97,012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16,904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-1,261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-9,862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112,295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37,593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63,235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22,291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-14,139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93,955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38,668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58,317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2,628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20,661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-1,776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-13,841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Portanza sismica con inerzia del terreno</w:t>
      </w:r>
    </w:p>
    <w:p>
      <w:pPr>
        <w:spacing w:after="70"/>
      </w:pPr>
      <w:r>
        <w:rPr>
          <w:rFonts w:ascii="Calibri" w:hAnsi="Calibri"/>
          <w:sz w:val="19"/>
        </w:rPr>
        <w:t>EN 1998-5:2004 allegato F, modello drenato per fondazione nastriforme su terreno granulare asciutto. Nmax=0,5 γ(1−av/g) B² Nγ; Nγ=2(Nq−1)tanφd. Ricoprimento favorevole escluso. Il dominio considera insieme N, V e M, senza ulteriori riduzioni di B o inclinazione. F=γRD ah/(g tanφd); N̄=γRD γR N/Nmax; V̄=γRD γR |V|/Nmax; M̄=γRD γR |M|/(B Nmax).</w:t>
      </w:r>
    </w:p>
    <w:p>
      <w:pPr>
        <w:spacing w:after="70"/>
      </w:pPr>
      <w:r>
        <w:rPr>
          <w:rFonts w:ascii="Calibri" w:hAnsi="Calibri"/>
          <w:sz w:val="19"/>
        </w:rPr>
        <w:t>I=[(1−0,41F)^1,14(2,90V̄)^1,14+(1−0,32F)^1,01(2,80M̄)^1,01] / [N̄^0,92 ((1−0,96F)^0,39−N̄)^1,25] ≤1. 0&lt;N̄&lt;(1−0,96F)^0,39. Il tasso η è l’inverso del moltiplicatore limite lungo il raggio N,V,M; non coincide con I. γR è quello della combinazione; γRD=1.15. Origine accelerazione: Da sito. Da sito: ah/g=ag/g·Ss·St, |av|/g=0,5 ah/g; assegnata: ah/g=, |av|/g=.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91"/>
        <w:gridCol w:w="1493"/>
        <w:gridCol w:w="1991"/>
        <w:gridCol w:w="1394"/>
        <w:gridCol w:w="2491"/>
      </w:tblGrid>
      <w:tr>
        <w:trPr>
          <w:cantSplit/>
          <w:tblHeader/>
        </w:trPr>
        <w:tc>
          <w:tcPr>
            <w:tcW w:w="19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49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Nmax / F</w:t>
            </w:r>
          </w:p>
        </w:tc>
        <w:tc>
          <w:tcPr>
            <w:tcW w:w="19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N̄ / V̄ / M̄</w:t>
            </w:r>
          </w:p>
        </w:tc>
        <w:tc>
          <w:tcPr>
            <w:tcW w:w="13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 / η</w:t>
            </w:r>
          </w:p>
        </w:tc>
        <w:tc>
          <w:tcPr>
            <w:tcW w:w="24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19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49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3071,516 kN/m / 0,532</w:t>
            </w:r>
          </w:p>
        </w:tc>
        <w:tc>
          <w:tcPr>
            <w:tcW w:w="19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 / 0,031 / 0,006</w:t>
            </w:r>
          </w:p>
        </w:tc>
        <w:tc>
          <w:tcPr>
            <w:tcW w:w="13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1,115 / 1,442</w:t>
            </w:r>
          </w:p>
        </w:tc>
        <w:tc>
          <w:tcPr>
            <w:tcW w:w="24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19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49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2242,526 kN/m / 0,532</w:t>
            </w:r>
          </w:p>
        </w:tc>
        <w:tc>
          <w:tcPr>
            <w:tcW w:w="19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0,086 / 0,039 / 0,008</w:t>
            </w:r>
          </w:p>
        </w:tc>
        <w:tc>
          <w:tcPr>
            <w:tcW w:w="13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1,283 / 2,343</w:t>
            </w:r>
          </w:p>
        </w:tc>
        <w:tc>
          <w:tcPr>
            <w:tcW w:w="24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19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49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3071,516 kN/m / 0,532</w:t>
            </w:r>
          </w:p>
        </w:tc>
        <w:tc>
          <w:tcPr>
            <w:tcW w:w="19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0,072 / 0,037 / 0,009</w:t>
            </w:r>
          </w:p>
        </w:tc>
        <w:tc>
          <w:tcPr>
            <w:tcW w:w="13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1,453 / 4,458</w:t>
            </w:r>
          </w:p>
        </w:tc>
        <w:tc>
          <w:tcPr>
            <w:tcW w:w="24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19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49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2242,526 kN/m / 0,532</w:t>
            </w:r>
          </w:p>
        </w:tc>
        <w:tc>
          <w:tcPr>
            <w:tcW w:w="19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0,083 / 0,047 / 0,013</w:t>
            </w:r>
          </w:p>
        </w:tc>
        <w:tc>
          <w:tcPr>
            <w:tcW w:w="13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1,741 / 10,449</w:t>
            </w:r>
          </w:p>
        </w:tc>
        <w:tc>
          <w:tcPr>
            <w:tcW w:w="24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Cedimenti e spostamenti in esercizio</w:t>
      </w:r>
    </w:p>
    <w:p>
      <w:pPr>
        <w:spacing w:after="70"/>
      </w:pPr>
      <w:r>
        <w:rPr>
          <w:rFonts w:ascii="Calibri" w:hAnsi="Calibri"/>
          <w:sz w:val="19"/>
        </w:rPr>
        <w:t>Cedimenti richiesti: False; spostamenti richiesti: False. Pressione rimossa= kPa; limite cedimento=25 mm, rotazione=0.002 rad, spostamento testa=20 mm. Rigidezza orizzontale per metro= kN/m². Substrato rigido documentato: False.</w:t>
      </w:r>
    </w:p>
    <w:p>
      <w:pPr>
        <w:spacing w:after="70"/>
      </w:pPr>
      <w:r>
        <w:rPr>
          <w:rFonts w:ascii="Calibri" w:hAnsi="Calibri"/>
          <w:sz w:val="19"/>
        </w:rPr>
        <w:t>Cedimento finale edometrico s=∫Δσz/M dz; tensioni Boussinesq della striscia con contatto lineare, al netto del terreno rimosso. Moduli assegnati e costanti per strato; niente storia di consolidazione o tempo di drenaggio. Confronto fra due discretizzazioni; profondità sufficiente a Δσz≤10% del carico netto o substrato rigido documentato. La rotazione deriva dal profilo di cedimento libero; non è una soluzione accoppiata della fondazione rigida. Flessione del fusto: doppia integrazione delle curvature GPC fessurate con viscosità per il c.a.; modello elastico senza trazione per gravità. u totale = u fusto + H/K − θ Hmuro. I limiti sono assegnati dal progettista.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320"/>
        <w:gridCol w:w="2160"/>
        <w:gridCol w:w="2880"/>
      </w:tblGrid>
      <w:tr>
        <w:trPr>
          <w:cantSplit/>
          <w:tblHeader/>
        </w:trPr>
        <w:tc>
          <w:tcPr>
            <w:tcW w:w="43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Strato sotto posa</w:t>
            </w:r>
          </w:p>
        </w:tc>
        <w:tc>
          <w:tcPr>
            <w:tcW w:w="21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Spessore [m]</w:t>
            </w:r>
          </w:p>
        </w:tc>
        <w:tc>
          <w:tcPr>
            <w:tcW w:w="28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edometrico [kPa]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90"/>
        <w:gridCol w:w="1890"/>
        <w:gridCol w:w="1134"/>
        <w:gridCol w:w="1607"/>
        <w:gridCol w:w="2839"/>
      </w:tblGrid>
      <w:tr>
        <w:trPr>
          <w:cantSplit/>
          <w:tblHeader/>
        </w:trPr>
        <w:tc>
          <w:tcPr>
            <w:tcW w:w="189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89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 valle/centro/monte [mm]</w:t>
            </w:r>
          </w:p>
        </w:tc>
        <w:tc>
          <w:tcPr>
            <w:tcW w:w="113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θ [rad]</w:t>
            </w:r>
          </w:p>
        </w:tc>
        <w:tc>
          <w:tcPr>
            <w:tcW w:w="160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fusto/totale [mm]</w:t>
            </w:r>
          </w:p>
        </w:tc>
        <w:tc>
          <w:tcPr>
            <w:tcW w:w="28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Contributi degli strati lungo la verticale centrale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510"/>
        <w:gridCol w:w="2340"/>
        <w:gridCol w:w="1755"/>
        <w:gridCol w:w="1755"/>
      </w:tblGrid>
      <w:tr>
        <w:trPr>
          <w:cantSplit/>
          <w:tblHeader/>
        </w:trPr>
        <w:tc>
          <w:tcPr>
            <w:tcW w:w="351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strato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175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[kPa]</w:t>
            </w:r>
          </w:p>
        </w:tc>
        <w:tc>
          <w:tcPr>
            <w:tcW w:w="175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Δs [mm]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Spostamenti sismici permanenti Newmark</w:t>
      </w:r>
    </w:p>
    <w:p>
      <w:pPr>
        <w:spacing w:after="70"/>
      </w:pPr>
      <w:r>
        <w:rPr>
          <w:rFonts w:ascii="Calibri" w:hAnsi="Calibri"/>
          <w:sz w:val="19"/>
        </w:rPr>
        <w:t>Integrazione esatta per tratti lineari di a(t)−ky·g, con velocità non negativa verso valle e arresto dopo il termine della registrazione. Modello di blocco rigido libero; escluso Wood. ky/g e compatibilità delle storie con sito e stato limite sono responsabilità dell’analisi geotecnica. Ogni storia SLD o SLV viene controllata singolarmente: non viene dedotta la conformità normativa dell’insieme di accelerogrammi dal solo ag/g.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12"/>
        <w:gridCol w:w="2012"/>
        <w:gridCol w:w="805"/>
        <w:gridCol w:w="1509"/>
        <w:gridCol w:w="3022"/>
      </w:tblGrid>
      <w:tr>
        <w:trPr>
          <w:cantSplit/>
          <w:tblHeader/>
        </w:trPr>
        <w:tc>
          <w:tcPr>
            <w:tcW w:w="2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Storia / stato</w:t>
            </w:r>
          </w:p>
        </w:tc>
        <w:tc>
          <w:tcPr>
            <w:tcW w:w="2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ky/g / scala / PGA/g</w:t>
            </w:r>
          </w:p>
        </w:tc>
        <w:tc>
          <w:tcPr>
            <w:tcW w:w="80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Campioni</w:t>
            </w:r>
          </w:p>
        </w:tc>
        <w:tc>
          <w:tcPr>
            <w:tcW w:w="150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 / limite [mm]</w:t>
            </w:r>
          </w:p>
        </w:tc>
        <w:tc>
          <w:tcPr>
            <w:tcW w:w="302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 campioni integrati completi e le curvature sono interrogabili nelle tabelle del modulo e conservati nel risultato JSON; gli accelerogrammi di input restano nel file del muro.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Materiale del muro a gravità e stabilità strutturale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type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Resistenze assegnate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fk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fvk0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fvk_limit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gamma_m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2.5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confidence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eccentricity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effective_height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elastic_modulus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CLS non armato: proprietà GPC, NTC 4.1.11 per compressione e taglio; fct1d=0,85 fctk,0.05/γc. Muratura: blocco compresso 0,85 fk/(γM FC), scorrimento giunti min(fvk0+0,4σ; fvk,lim)/(γM FC). Imperfezione ≥H/200. Mensola libera con lunghezza efficace ≥2H ed EI minimo: amplificazione 1/(1−N/Ncr), limitata a N&lt;0,8Ncr e assenza di trazione; altrimenti il controllo resta fuori campo. Nessuna resistenza a trazione della muratura.</w:t>
      </w:r>
    </w:p>
    <w:p>
      <w:pPr>
        <w:spacing w:after="70"/>
      </w:pPr>
      <w:r>
        <w:rPr>
          <w:rFonts w:ascii="Calibri" w:hAnsi="Calibri"/>
          <w:sz w:val="19"/>
        </w:rPr>
        <w:t>Fonti dei nuovi modelli: JRC Eurocode 8 Seismic Design of Buildings Worked Examples (2011), §4.8; JRC Eurocode 2 Background and Applications, Arrieta, Anchorage and lap splicing (2011); USACE EM 1110-1-1905 (2025); USGS SIR 2007-5196; NTC 2018 §§4.1.11 e 7.8.2.2.3. I motori geotecnici sono separati dall’interfaccia e dai materiali GPC.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