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Sisma da parametri del sito</w:t>
      </w:r>
    </w:p>
    <w:p>
      <w:pPr>
        <w:spacing w:after="70"/>
      </w:pPr>
      <w:r>
        <w:rPr>
          <w:rFonts w:ascii="Calibri" w:hAnsi="Calibri"/>
          <w:sz w:val="19"/>
        </w:rPr>
        <w:t>Muri di sostegno · Gravità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Bishop, cedimenti edometrici e spostamenti sono verifiche separate da attivare con i dati richiesti. Portanza sismica: EN 1998-5 allegato F, base ruvida e terreno granulare asciutto. Newmark: accelerogrammi e soglia di scorrimento assegnati, solo muro libero. Gravità: resistenze assegnate oppure CLS/muratura nel dominio senza trazione; fuori campo occorre analisi non lineare. Il disegno delle armature è un predimensionamento, da completare con dettagli esecutivi. Liquefazione, verifiche idrauliche e degradazione ciclica non incluse. Nessun esito complessivo dell’opera.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70"/>
      </w:pPr>
      <w:r>
        <w:rPr>
          <w:rFonts w:ascii="Calibri" w:hAnsi="Calibri"/>
          <w:sz w:val="19"/>
        </w:rPr>
        <w:t>Pseudostatica locale Mononobe–Okabe: incremento dinamico a metà altezza, inerzia di muro e terreno sulla mensola, ±kv. Direzione verso valle. Portanza sismica Annex F con accelerazione del terreno indipendente dal kh ridotto del muro: interazione N–V–M, γRD e γR espliciti; ricoprimento favorevole escluso. Spostamenti Newmark e stabilità globale Bishop richiedono l’attivazione dei rispettivi calcoli separati.</w:t>
      </w:r>
    </w:p>
    <w:p>
      <w:pPr>
        <w:spacing w:after="70"/>
      </w:pPr>
      <w:r>
        <w:rPr>
          <w:rFonts w:ascii="Calibri" w:hAnsi="Calibri"/>
          <w:sz w:val="19"/>
        </w:rPr>
        <w:t>SLV · Ss assegnato dal progettista / risposta sismica locale.</w:t>
        <w:br/>
        <w:t>St assegnato dal progettista / risposta sismica locale.</w:t>
        <w:br/>
        <w:t>Ss=1,3; St=1,2; amax/g = Ss × St × ag/g = 1,3 × 1,2 × 0,2 = 0,312.</w:t>
        <w:br/>
        <w:t>βm=0,38 → kh=βm × amax/g = 0,11856; kv=±0,5kh = ±0,05928.</w:t>
        <w:br/>
        <w:t>Ribaltamento: βm,rib=min(1; 1,5βm)=0,57 → kh,rib=0,17784; kv,rib=±0,08892.</w:t>
        <w:br/>
        <w:t>NTC 2018 §§3.2.2, 3.2.3.2.1 e 7.11.6.2.1. ag/g e F₀ devono riferirsi allo SLV del progetto. Casi generali e ribaltamento separati; γR del preset SLV: scorrimento 1, ribaltamento 1, portanza 1,2. Matrici personalizzate: fanno fede kh, kv e coefficienti di ogni riga; l’accelerazione della fondazione è definita separatamente.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2.2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di progetto a compressione · σRd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di progetto a taglio · τRd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di progetto a trazione fondazione · fctd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Hlib=3,45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679"/>
        <w:gridCol w:w="2759"/>
        <w:gridCol w:w="3239"/>
        <w:gridCol w:w="1683"/>
      </w:tblGrid>
      <w:tr>
        <w:trPr>
          <w:cantSplit/>
          <w:tblHeader/>
        </w:trPr>
        <w:tc>
          <w:tcPr>
            <w:tcW w:w="167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75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Quote e attriti</w:t>
            </w:r>
          </w:p>
        </w:tc>
        <w:tc>
          <w:tcPr>
            <w:tcW w:w="323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 valle</w:t>
            </w:r>
          </w:p>
        </w:tc>
        <w:tc>
          <w:tcPr>
            <w:tcW w:w="16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Portanza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0,468</w:t>
              <w:br/>
              <w:t>igamma = 0,32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0,519</w:t>
              <w:br/>
              <w:t>igamma = 0,374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0,54</w:t>
              <w:br/>
              <w:t>igamma = 0,397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0,573</w:t>
              <w:br/>
              <w:t>igamma = 0,434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0,655</w:t>
              <w:br/>
              <w:t>igamma = 0,53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0,48</w:t>
              <w:br/>
              <w:t>igamma = 0,332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0,573</w:t>
              <w:br/>
              <w:t>igamma = 0,434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0,421</w:t>
              <w:br/>
              <w:t>igamma = 0,273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0,522</w:t>
              <w:br/>
              <w:t>igamma = 0,377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0,347</w:t>
              <w:br/>
              <w:t>igamma = 0,204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0,453</w:t>
              <w:br/>
              <w:t>igamma = 0,305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0,321</w:t>
              <w:br/>
              <w:t>igamma = 0,181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0,296</w:t>
              <w:br/>
              <w:t>igamma = 0,161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0,235</w:t>
              <w:br/>
              <w:t>igamma = 0,114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0,186</w:t>
              <w:br/>
              <w:t>igamma = 0,08</w:t>
              <w:br/>
              <w:t>Base ruvida: 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Coefficienti delle spinte sul fusto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2674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[°]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 / Ke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Incremento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0,405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0,405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0,415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2,387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0,415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2,387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0,443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0,443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0,469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0,469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3,333–21,333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21,333–24,033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1,667–19,667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19,667–22,367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1–19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19–21,7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3,641–22,708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22,708–25,568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3,558–20,491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20,491–23,031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5,165–24,765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24,765–27,706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5,126–21,525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21,525–23,985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Pseudostatica: kh=0,11856; |kv|=0,05928. Vedere i limiti di applicazione sopra riportati.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Dati del sito per il calcolo dei coefficienti sismici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5348"/>
        <w:gridCol w:w="4012"/>
      </w:tblGrid>
      <w:tr>
        <w:trPr>
          <w:cantSplit/>
          <w:tblHeader/>
        </w:trPr>
        <w:tc>
          <w:tcPr>
            <w:tcW w:w="534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Dato</w:t>
            </w:r>
          </w:p>
        </w:tc>
        <w:tc>
          <w:tcPr>
            <w:tcW w:w="40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Modello delle spinte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Mononobe–Okabe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ag/g allo SLV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Definizione Ss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Definizione St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Ss assegnato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1.3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 assegnato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1.2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SLV · Ss assegnato dal progettista / risposta sismica locale.</w:t>
        <w:br/>
        <w:t>St assegnato dal progettista / risposta sismica locale.</w:t>
        <w:br/>
        <w:t>Ss=1,3; St=1,2; amax/g = Ss × St × ag/g = 1,3 × 1,2 × 0,2 = 0,312.</w:t>
        <w:br/>
        <w:t>βm=0,38 → kh=βm × amax/g = 0,11856; kv=±0,5kh = ±0,05928.</w:t>
        <w:br/>
        <w:t>Ribaltamento: βm,rib=min(1; 1,5βm)=0,57 → kh,rib=0,17784; kv,rib=±0,08892.</w:t>
        <w:br/>
        <w:t>NTC 2018 §§3.2.2, 3.2.3.2.1 e 7.11.6.2.1. ag/g e F₀ devono riferirsi allo SLV del progetto.</w:t>
      </w:r>
    </w:p>
    <w:p>
      <w:pPr>
        <w:spacing w:after="70"/>
      </w:pPr>
      <w:r>
        <w:rPr>
          <w:rFonts w:ascii="Calibri" w:hAnsi="Calibri"/>
          <w:sz w:val="19"/>
        </w:rPr>
        <w:t>Gravità: compressione e taglio confrontati con resistenze di progetto assegnate, da documentare per il materiale effettivo. Fusto verificato anche per assenza di trazione. Fondazione non armata verificata a flessione con fctd assegnata. Non è una verifica normativa completa di muratura o pietrame.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SLV Generale kv+ 13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63,383 / 67,791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SLV Ribaltamento kv+ 15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104,536 / 228,636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SLV Generale kv+ 13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138,991 / 59,317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2,343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SLV Generale kv+ 13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0,257 / 1,35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compressione</w:t>
              <w:br/>
              <w:t>SLU 5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0,082 / 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assenza trazione</w:t>
              <w:br/>
              <w:t>SLV Generale kv+ 13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24,069 / 35,571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</w:t>
              <w:br/>
              <w:t>SLV Generale kv− 12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z=0.25 m · compressione</w:t>
              <w:br/>
              <w:t>SLV Generale kv− 12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0,068 / 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z=0.25 m · flessione fondazione</w:t>
              <w:br/>
              <w:t>SLV Generale kv− 12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0,068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z=0.25 m · taglio</w:t>
              <w:br/>
              <w:t>SLV Generale kv− 12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0,2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z=0.25 m · compressione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0,053 / 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z=0.25 m · flessione fondazione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0,053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z=0.25 m · taglio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0,047 / 0,2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monte / valle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0,119 / -0,059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0,119 / 0,059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0,178 / -0,089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0,178 / 0,089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0,405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0–19,067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2,354 / 3,641–22,708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0,405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19,067–21,927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2,354 / 22,708–25,568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0,415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0–16,933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2,387 / 3,558–20,491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0,415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16,933–19,473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2,387 / 20,491–23,031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0,443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0–19,601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1,448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3,717 / 5,165–24,765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0,443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19,601–22,541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1,448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3,717 / 24,765–27,706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0,469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0–16,399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1,282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3,844 / 5,126–21,525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0,469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16,399–18,859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1,282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3,844 / 21,525–23,985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149,5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148,25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147,75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187,05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151,05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191,1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150,75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190,8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154,8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194,85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67,903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156,509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63,383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138,991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82,978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160,888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76,493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134,612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255,456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61,354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252,238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2,685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55,827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250,95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2,639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58,403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249,019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62,268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313,296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85,504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259,448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57,712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323,724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80,948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258,675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68,72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322,952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75,151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269,104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2,403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76,276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333,381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2,569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82,706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265,826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89,578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86,804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236,074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84,216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80,928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273,264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112,071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105,683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228,636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104,536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97,286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12,387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-0,797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-6,327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10,706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-0,452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-3,627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10,033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-2,547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-7,031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134,063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-17,241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9,982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10,773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-0,745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-5,975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134,063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11,731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-1,205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14,069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-9,028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134,063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15,028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-4,257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23,569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1,996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15,818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-14,076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134,063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16,776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-1,173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-9,306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109,238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23,608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2,285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18,054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-1,293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-10,124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97,012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24,069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16,904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-1,261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-9,862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112,295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37,593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63,235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22,291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-14,139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93,955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38,668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58,317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2,628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20,661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-1,776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-13,841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Analisi non attivata. Nessun esito di stabilità globale disponibile.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