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16:46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Interferro minimo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59,2 mm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>Copriferro nominale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70 mm · limite: 35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Margine copriferro barre longitudinali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45 mm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Diametro longitudinale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16 mm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Interasse longitudinale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424 mm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minima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massima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Diametro staffe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10 mm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Passo staffe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200 mm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Barre trattenute dalle staffe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Valore: — 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Disponibile: 1200 mm · richiesta: 696,589 mm</w:t>
      </w:r>
    </w:p>
    <w:p>
      <w:pPr>
        <w:pStyle w:val="Normal"/>
      </w:pPr>
      <w:r>
        <w:t xml:space="preserve">σsd = 391,304 MPa · fbd = 3,37 MPa · lb,rqd = 696,589 mm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Lunghezza e interferro soddisfatti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Dettaglio esecutivo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Controlli da completare</w:t>
      </w:r>
    </w:p>
    <w:p>
      <w:pPr>
        <w:pStyle w:val="Normal"/>
      </w:pPr>
      <w:r>
        <w:t xml:space="preserve">Confinamento, posizione delle giunzioni e cautele per Ø &gt; 32 mm devono essere verificati nel dettaglio esecutivo.</w:t>
      </w:r>
    </w:p>
    <w:p>
      <w:pPr>
        <w:pStyle w:val="Normal"/>
      </w:pPr>
      <w:r>
        <w:t xml:space="preserve">EC2 §§8.4 e 8.7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843,571 kNm. N del punto limite = -500,16938 kN; residuo = -0,16938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945,72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