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18EE476E" w14:textId="4C6B629B" w:rsidTr="00DC48B9">
        <w:tc>
          <w:tcPr>
            <w:tcW w:w="2835" w:type="dxa"/>
          </w:tcPr>
          <w:p w14:paraId="7EF6BB66" w14:textId="77777777" w:rsidR="00BC3766" w:rsidRPr="004913BD" w:rsidRDefault="00BC3766" w:rsidP="00DC48B9">
            <w:pPr>
              <w:rPr>
                <w:b/>
                <w:bCs/>
              </w:rPr>
            </w:pPr>
          </w:p>
        </w:tc>
        <w:tc>
          <w:tcPr>
            <w:tcW w:w="7797" w:type="dxa"/>
          </w:tcPr>
          <w:p w14:paraId="3DAFB638" w14:textId="4EA44FA0" w:rsidR="00BC3766" w:rsidRPr="004913BD" w:rsidRDefault="00BC3766" w:rsidP="00DC48B9">
            <w:pPr>
              <w:rPr>
                <w:b/>
                <w:bCs/>
                <w:sz w:val="20"/>
              </w:rPr>
            </w:pPr>
          </w:p>
        </w:tc>
      </w:tr>
      <w:tr w:rsidR="00BC3766" w14:paraId="2803F85B" w14:textId="3A8D19EC" w:rsidTr="00DC48B9">
        <w:tc>
          <w:tcPr>
            <w:tcW w:w="2835" w:type="dxa"/>
          </w:tcPr>
          <w:p w14:paraId="00DBF1AE" w14:textId="77777777" w:rsidR="00BC3766" w:rsidRPr="004913BD" w:rsidRDefault="00BC3766" w:rsidP="00DC48B9">
            <w:pPr>
              <w:tabs>
                <w:tab w:val="left" w:pos="1296"/>
              </w:tabs>
              <w:rPr>
                <w:sz w:val="28"/>
                <w:szCs w:val="28"/>
              </w:rPr>
            </w:pPr>
          </w:p>
        </w:tc>
        <w:tc>
          <w:tcPr>
            <w:tcW w:w="7797" w:type="dxa"/>
          </w:tcPr>
          <w:p w14:paraId="42EA0D10" w14:textId="0A874B05" w:rsidR="00BC3766" w:rsidRPr="004913BD" w:rsidRDefault="00BC3766" w:rsidP="00DC48B9">
            <w:pPr>
              <w:tabs>
                <w:tab w:val="left" w:pos="1296"/>
              </w:tabs>
              <w:rPr>
                <w:sz w:val="28"/>
                <w:szCs w:val="28"/>
              </w:rPr>
            </w:pPr>
          </w:p>
        </w:tc>
      </w:tr>
      <w:tr w:rsidR="00BC3766" w14:paraId="70F74E0C" w14:textId="6DC6C3D1" w:rsidTr="00DC48B9">
        <w:trPr>
          <w:trHeight w:val="573"/>
        </w:trPr>
        <w:tc>
          <w:tcPr>
            <w:tcW w:w="2835" w:type="dxa"/>
          </w:tcPr>
          <w:p w14:paraId="69984CCF" w14:textId="77777777" w:rsidR="00BC3766" w:rsidRPr="006D3BBF" w:rsidRDefault="00BC3766" w:rsidP="00DC48B9">
            <w:pPr>
              <w:rPr>
                <w:sz w:val="20"/>
                <w:szCs w:val="16"/>
              </w:rPr>
            </w:pPr>
          </w:p>
          <w:p w14:paraId="166F366A" w14:textId="12C7A23B" w:rsidR="006D3BBF" w:rsidRDefault="006D3BBF" w:rsidP="00DC48B9"/>
        </w:tc>
        <w:tc>
          <w:tcPr>
            <w:tcW w:w="7797" w:type="dxa"/>
          </w:tcPr>
          <w:p w14:paraId="3E056B6F" w14:textId="10D354F7" w:rsidR="00BC3766" w:rsidRDefault="00BC3766" w:rsidP="00DC48B9"/>
        </w:tc>
      </w:tr>
      <w:tr w:rsidR="00793049" w14:paraId="0F575EFC" w14:textId="77777777" w:rsidTr="00DC48B9">
        <w:trPr>
          <w:trHeight w:val="396"/>
        </w:trPr>
        <w:tc>
          <w:tcPr>
            <w:tcW w:w="2835" w:type="dxa"/>
          </w:tcPr>
          <w:p w14:paraId="05357AE5" w14:textId="40DA5C0C" w:rsidR="00793049" w:rsidRPr="006D3BBF" w:rsidRDefault="00793049" w:rsidP="00F63D34">
            <w:pPr>
              <w:ind w:left="31"/>
              <w:rPr>
                <w:sz w:val="20"/>
                <w:szCs w:val="16"/>
              </w:rPr>
            </w:pPr>
            <w:r w:rsidRPr="004913BD">
              <w:rPr>
                <w:b/>
                <w:bCs/>
              </w:rPr>
              <w:t>Ambito:</w:t>
            </w:r>
            <w:r>
              <w:rPr>
                <w:b/>
                <w:bCs/>
              </w:rPr>
            </w:r>
          </w:p>
        </w:tc>
        <w:tc>
          <w:tcPr>
            <w:tcW w:w="7797" w:type="dxa"/>
          </w:tcPr>
          <w:p w14:paraId="6FB86068" w14:textId="77777777" w:rsidR="00793049" w:rsidRDefault="00793049" w:rsidP="00DC48B9"/>
        </w:tc>
      </w:tr>
      <w:tr w:rsidR="00793049" w14:paraId="24B0DFCF" w14:textId="75F6DB6E" w:rsidTr="00DC48B9">
        <w:trPr>
          <w:trHeight w:val="560"/>
        </w:trPr>
        <w:tc>
          <w:tcPr>
            <w:tcW w:w="2835" w:type="dxa"/>
          </w:tcPr>
          <w:p w14:paraId="3789EDA2" w14:textId="217AEED5" w:rsidR="00793049" w:rsidRPr="004913BD" w:rsidRDefault="00793049" w:rsidP="00DC48B9">
            <w:pPr>
              <w:rPr>
                <w:b/>
                <w:bCs/>
                <w:sz w:val="32"/>
                <w:szCs w:val="32"/>
              </w:rPr>
            </w:pPr>
          </w:p>
        </w:tc>
        <w:tc>
          <w:tcPr>
            <w:tcW w:w="7797" w:type="dxa"/>
          </w:tcPr>
          <w:p w14:paraId="1A8CC010" w14:textId="3EE8887F" w:rsidR="00793049" w:rsidRPr="004913BD" w:rsidRDefault="00793049" w:rsidP="00DC48B9">
            <w:pPr>
              <w:rPr>
                <w:b/>
                <w:bCs/>
                <w:sz w:val="32"/>
                <w:szCs w:val="32"/>
              </w:rPr>
            </w:pPr>
          </w:p>
        </w:tc>
      </w:tr>
      <w:tr w:rsidR="00793049" w14:paraId="66508BAF" w14:textId="14904B99" w:rsidTr="00DC48B9">
        <w:trPr>
          <w:trHeight w:val="396"/>
        </w:trPr>
        <w:tc>
          <w:tcPr>
            <w:tcW w:w="2835" w:type="dxa"/>
          </w:tcPr>
          <w:p w14:paraId="3D23A769" w14:textId="04291B3A" w:rsidR="00793049" w:rsidRPr="004913BD" w:rsidRDefault="00793049" w:rsidP="00DC48B9">
            <w:pPr>
              <w:spacing w:line="276" w:lineRule="auto"/>
              <w:rPr>
                <w:sz w:val="28"/>
                <w:szCs w:val="28"/>
              </w:rPr>
            </w:pPr>
          </w:p>
        </w:tc>
        <w:tc>
          <w:tcPr>
            <w:tcW w:w="7797" w:type="dxa"/>
          </w:tcPr>
          <w:p w14:paraId="3F3EC677" w14:textId="2C72CEC3" w:rsidR="00793049" w:rsidRPr="004913BD" w:rsidRDefault="00793049" w:rsidP="00DC48B9">
            <w:pPr>
              <w:spacing w:line="276" w:lineRule="auto"/>
              <w:rPr>
                <w:sz w:val="28"/>
                <w:szCs w:val="28"/>
              </w:rPr>
            </w:pPr>
            <w:r>
              <w:rPr>
                <w:sz w:val="28"/>
                <w:szCs w:val="28"/>
              </w:rPr>
              <w:t>Documentazione software ANTHEA</w:t>
            </w:r>
          </w:p>
        </w:tc>
      </w:tr>
    </w:tbl>
    <w:p w14:paraId="4A829B78" w14:textId="77777777" w:rsidR="00DF4021" w:rsidRPr="00D14D83" w:rsidRDefault="00DF4021" w:rsidP="00D14D83">
      <w:pPr>
        <w:ind w:left="-284"/>
        <w:rPr>
          <w:b/>
          <w:bCs/>
          <w:sz w:val="16"/>
          <w:szCs w:val="12"/>
        </w:rPr>
      </w:pPr>
    </w:p>
    <w:p w14:paraId="3B0BAB37" w14:textId="1CAD96E5" w:rsidR="00E636A2" w:rsidRDefault="00E636A2" w:rsidP="00D35195">
      <w:pPr>
        <w:spacing w:line="276" w:lineRule="auto"/>
        <w:rPr>
          <w:b/>
          <w:bCs/>
        </w:rPr>
      </w:pPr>
      <w:r w:rsidRPr="000E76E2">
        <w:rPr>
          <w:b/>
          <w:bCs/>
        </w:rPr>
        <w:t>Titolo</w:t>
      </w:r>
      <w:r>
        <w:rPr>
          <w:b/>
          <w:bCs/>
        </w:rPr>
        <w:t>:</w:t>
      </w:r>
    </w:p>
    <w:p w14:paraId="49C128CB" w14:textId="5C55FCFF" w:rsidR="0058216B" w:rsidRDefault="0058216B" w:rsidP="00BC0FB4">
      <w:pPr>
        <w:pStyle w:val="Title"/>
        <w:autoSpaceDE w:val="0"/>
        <w:autoSpaceDN w:val="0"/>
        <w:adjustRightInd w:val="0"/>
        <w:spacing w:line="192" w:lineRule="auto"/>
        <w:ind w:right="-569"/>
        <w:jc w:val="left"/>
        <w:rPr>
          <w:rFonts w:cs="Manrope"/>
          <w:sz w:val="28"/>
          <w:szCs w:val="28"/>
        </w:rPr>
      </w:pPr>
      <w:r w:rsidRPr="00DF4021">
        <w:rPr>
          <w:rFonts w:cs="Manrope"/>
          <w:sz w:val="28"/>
          <w:szCs w:val="28"/>
        </w:rPr>
        <w:t>Guida pratica di ANTHEA</w:t>
      </w:r>
    </w:p>
    <w:p w14:paraId="69D7AD69" w14:textId="77777777" w:rsidR="00D14D83" w:rsidRPr="00DF4021" w:rsidRDefault="00D14D83" w:rsidP="00D14D83">
      <w:pPr>
        <w:autoSpaceDE w:val="0"/>
        <w:autoSpaceDN w:val="0"/>
        <w:adjustRightInd w:val="0"/>
        <w:spacing w:line="192" w:lineRule="auto"/>
        <w:ind w:left="-284"/>
        <w:rPr>
          <w:rFonts w:cs="Manrope"/>
          <w:sz w:val="28"/>
          <w:szCs w:val="28"/>
        </w:rPr>
      </w:pPr>
    </w:p>
    <w:p w14:paraId="41E26557"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00E5F461" w14:textId="49794860"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p w14:paraId="04D1C3BE" w14:textId="5701B655"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6C3F561F" w14:textId="77777777" w:rsidTr="00D35195">
        <w:tc>
          <w:tcPr>
            <w:tcW w:w="5240" w:type="dxa"/>
          </w:tcPr>
          <w:p w14:paraId="671A0504" w14:textId="33FA81B6"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957FCBC" w14:textId="77777777" w:rsidTr="00D35195">
        <w:tc>
          <w:tcPr>
            <w:tcW w:w="5240" w:type="dxa"/>
          </w:tcPr>
          <w:p w14:paraId="54D7E423" w14:textId="303C74FB" w:rsidR="00E636A2" w:rsidRDefault="00BC3766" w:rsidP="00D35195">
            <w:pPr>
              <w:autoSpaceDE w:val="0"/>
              <w:autoSpaceDN w:val="0"/>
              <w:adjustRightInd w:val="0"/>
              <w:ind w:left="31"/>
              <w:jc w:val="left"/>
              <w:rPr>
                <w:rFonts w:cs="Manrope"/>
                <w:b/>
                <w:bCs/>
              </w:rPr>
            </w:pPr>
            <w:r>
              <w:rPr>
                <w:rFonts w:cs="Manrope"/>
                <w:sz w:val="22"/>
                <w:szCs w:val="28"/>
              </w:rPr>
              <w:t>Guida pratica all’uso</w:t>
            </w:r>
            <w:r w:rsidR="002B6FBE">
              <w:rPr>
                <w:rFonts w:cs="Manrope"/>
                <w:sz w:val="22"/>
                <w:szCs w:val="28"/>
              </w:rPr>
            </w:r>
          </w:p>
        </w:tc>
      </w:tr>
      <w:tr w:rsidR="00E636A2" w14:paraId="54DD76E6" w14:textId="77777777" w:rsidTr="00D35195">
        <w:trPr>
          <w:trHeight w:val="1425"/>
        </w:trPr>
        <w:tc>
          <w:tcPr>
            <w:tcW w:w="5240" w:type="dxa"/>
          </w:tcPr>
          <w:p w14:paraId="6FA7CBA6" w14:textId="06738BCE"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br/>
              <w:t>Geotecnica e sezioni strutturali</w:t>
              <w:br/>
              <w:t>Bridge Design e report</w:t>
              <w:br/>
              <w:t>Contenuti al 26 settembre 2026</w:t>
            </w:r>
          </w:p>
        </w:tc>
      </w:tr>
    </w:tbl>
    <w:p w14:paraId="519B0000"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548B02C6" w14:textId="77777777" w:rsidTr="00BC0FB4">
        <w:trPr>
          <w:trHeight w:val="655"/>
        </w:trPr>
        <w:tc>
          <w:tcPr>
            <w:tcW w:w="5386" w:type="dxa"/>
            <w:tcBorders>
              <w:top w:val="single" w:sz="12" w:space="0" w:color="808080" w:themeColor="background1" w:themeShade="80"/>
            </w:tcBorders>
            <w:vAlign w:val="center"/>
          </w:tcPr>
          <w:p w14:paraId="37C68CB3" w14:textId="71EE87F1"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r w:rsidRPr="00604B9E">
              <w:rPr>
                <w:rFonts w:cs="Manrope"/>
                <w:sz w:val="20"/>
              </w:rPr>
            </w:r>
          </w:p>
        </w:tc>
        <w:tc>
          <w:tcPr>
            <w:tcW w:w="1985" w:type="dxa"/>
            <w:tcBorders>
              <w:top w:val="single" w:sz="12" w:space="0" w:color="808080" w:themeColor="background1" w:themeShade="80"/>
            </w:tcBorders>
            <w:vAlign w:val="center"/>
          </w:tcPr>
          <w:p w14:paraId="57108A84"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309EBB7A"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r>
              <w:rPr>
                <w:rFonts w:cs="Manrope"/>
                <w:sz w:val="20"/>
                <w:szCs w:val="18"/>
              </w:rPr>
            </w:r>
            <w:r w:rsidRPr="00AB084F">
              <w:rPr>
                <w:rFonts w:cs="Manrope"/>
                <w:sz w:val="20"/>
                <w:szCs w:val="18"/>
              </w:rPr>
            </w:r>
            <w:r>
              <w:rPr>
                <w:rFonts w:cs="Manrope"/>
                <w:sz w:val="20"/>
                <w:szCs w:val="18"/>
              </w:rPr>
            </w:r>
            <w:r w:rsidRPr="00AB084F">
              <w:rPr>
                <w:rFonts w:cs="Manrope"/>
                <w:sz w:val="20"/>
                <w:szCs w:val="18"/>
              </w:rPr>
            </w:r>
          </w:p>
        </w:tc>
      </w:tr>
      <w:tr w:rsidR="006D3BBF" w14:paraId="32C62932" w14:textId="77777777" w:rsidTr="00BC0FB4">
        <w:trPr>
          <w:trHeight w:val="659"/>
        </w:trPr>
        <w:tc>
          <w:tcPr>
            <w:tcW w:w="5386" w:type="dxa"/>
            <w:tcBorders>
              <w:bottom w:val="single" w:sz="12" w:space="0" w:color="808080" w:themeColor="background1" w:themeShade="80"/>
            </w:tcBorders>
            <w:vAlign w:val="center"/>
          </w:tcPr>
          <w:p w14:paraId="73F63C65" w14:textId="0C92EDD4"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r w:rsidRPr="00604B9E">
              <w:rPr>
                <w:rFonts w:cs="Manrope"/>
                <w:sz w:val="20"/>
                <w:szCs w:val="32"/>
              </w:rPr>
            </w:r>
            <w:r w:rsidRPr="00604B9E">
              <w:rPr>
                <w:rFonts w:cs="Manrope"/>
                <w:b/>
                <w:bCs/>
                <w:sz w:val="20"/>
                <w:szCs w:val="32"/>
              </w:rPr>
            </w:r>
          </w:p>
        </w:tc>
        <w:tc>
          <w:tcPr>
            <w:tcW w:w="1985" w:type="dxa"/>
            <w:tcBorders>
              <w:bottom w:val="single" w:sz="12" w:space="0" w:color="808080" w:themeColor="background1" w:themeShade="80"/>
            </w:tcBorders>
            <w:vAlign w:val="center"/>
          </w:tcPr>
          <w:p w14:paraId="4877E00F"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9DB728C"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02 — Modello ITEC</w:t>
            </w:r>
          </w:p>
        </w:tc>
      </w:tr>
    </w:tbl>
    <w:p w14:paraId="656C00EB"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2B53EA6B" w14:textId="77A3E3ED" w:rsidR="006D3BBF" w:rsidRDefault="006D3BBF" w:rsidP="00BC0FB4">
      <w:pPr>
        <w:autoSpaceDE w:val="0"/>
        <w:autoSpaceDN w:val="0"/>
        <w:adjustRightInd w:val="0"/>
        <w:spacing w:line="276" w:lineRule="auto"/>
        <w:ind w:left="-284"/>
        <w:rPr>
          <w:rFonts w:cs="Manrope"/>
          <w:b/>
          <w:bCs/>
        </w:rPr>
      </w:pPr>
      <w:r>
        <w:rPr>
          <w:rFonts w:cs="Manrope"/>
          <w:b/>
          <w:bCs/>
        </w:rPr>
        <w:t>Firme:</w:t>
      </w:r>
    </w:p>
    <w:p w14:paraId="7E072168" w14:textId="7208A434" w:rsidR="006D3BBF" w:rsidRPr="006D3BBF" w:rsidRDefault="006D3BBF" w:rsidP="006D3BBF">
      <w:pPr>
        <w:autoSpaceDE w:val="0"/>
        <w:autoSpaceDN w:val="0"/>
        <w:adjustRightInd w:val="0"/>
        <w:ind w:left="-426"/>
        <w:rPr>
          <w:rFonts w:cs="Manrope"/>
          <w:b/>
          <w:bCs/>
          <w:sz w:val="20"/>
        </w:rPr>
      </w:pPr>
    </w:p>
    <w:p w14:paraId="50904504" w14:textId="0E95F4A7" w:rsidR="006D3BBF" w:rsidRDefault="006D3BBF" w:rsidP="006D3BBF">
      <w:pPr>
        <w:autoSpaceDE w:val="0"/>
        <w:autoSpaceDN w:val="0"/>
        <w:adjustRightInd w:val="0"/>
        <w:ind w:left="-426"/>
        <w:rPr>
          <w:rFonts w:cs="Manrope"/>
          <w:b/>
          <w:bCs/>
          <w:sz w:val="20"/>
        </w:rPr>
      </w:pPr>
    </w:p>
    <w:p w14:paraId="176401B2" w14:textId="77777777" w:rsidR="00D35195" w:rsidRPr="006D3BBF" w:rsidRDefault="00D35195" w:rsidP="006D3BBF">
      <w:pPr>
        <w:autoSpaceDE w:val="0"/>
        <w:autoSpaceDN w:val="0"/>
        <w:adjustRightInd w:val="0"/>
        <w:ind w:left="-426"/>
        <w:rPr>
          <w:rFonts w:cs="Manrope"/>
          <w:b/>
          <w:bCs/>
          <w:sz w:val="20"/>
        </w:rPr>
      </w:pPr>
    </w:p>
    <w:p w14:paraId="2C1C2516" w14:textId="77777777" w:rsidR="006D3BBF" w:rsidRPr="006D3BBF" w:rsidRDefault="006D3BBF" w:rsidP="006D3BBF">
      <w:pPr>
        <w:autoSpaceDE w:val="0"/>
        <w:autoSpaceDN w:val="0"/>
        <w:adjustRightInd w:val="0"/>
        <w:ind w:left="-426"/>
        <w:rPr>
          <w:rFonts w:cs="Manrope"/>
          <w:b/>
          <w:bCs/>
          <w:sz w:val="20"/>
        </w:rPr>
      </w:pPr>
    </w:p>
    <w:p w14:paraId="2AA2774F"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45C59C0E" w14:textId="77777777" w:rsidTr="00BC0FB4">
        <w:tc>
          <w:tcPr>
            <w:tcW w:w="729" w:type="dxa"/>
            <w:vAlign w:val="center"/>
          </w:tcPr>
          <w:p w14:paraId="35C7E565"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0B82969"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4419733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F64F4A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7F0B241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6974ED6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54CF84C7" w14:textId="77777777" w:rsidTr="00BC0FB4">
        <w:trPr>
          <w:trHeight w:val="227"/>
        </w:trPr>
        <w:tc>
          <w:tcPr>
            <w:tcW w:w="729" w:type="dxa"/>
            <w:vAlign w:val="center"/>
          </w:tcPr>
          <w:p w14:paraId="4900B208" w14:textId="4756F8B1" w:rsidR="00E636A2" w:rsidRPr="001C4DFF" w:rsidRDefault="00BC3766" w:rsidP="006D3BBF">
            <w:pPr>
              <w:autoSpaceDE w:val="0"/>
              <w:autoSpaceDN w:val="0"/>
              <w:adjustRightInd w:val="0"/>
              <w:jc w:val="left"/>
              <w:rPr>
                <w:rFonts w:cs="Manrope"/>
              </w:rPr>
            </w:pPr>
            <w:r>
              <w:rPr>
                <w:rFonts w:cs="Manrope"/>
                <w:sz w:val="16"/>
              </w:rPr>
              <w:t>02</w:t>
            </w:r>
          </w:p>
        </w:tc>
        <w:tc>
          <w:tcPr>
            <w:tcW w:w="4898" w:type="dxa"/>
            <w:vAlign w:val="center"/>
          </w:tcPr>
          <w:p w14:paraId="3ABABACB" w14:textId="0982600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ADOZIONE MODELLO ITEC</w:t>
            </w:r>
          </w:p>
        </w:tc>
        <w:tc>
          <w:tcPr>
            <w:tcW w:w="1327" w:type="dxa"/>
            <w:vAlign w:val="center"/>
          </w:tcPr>
          <w:p w14:paraId="289CC814" w14:textId="1913005E"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27/09/2026</w:t>
            </w:r>
            <w:r w:rsidR="00E636A2" w:rsidRPr="001C4DFF">
              <w:rPr>
                <w:rFonts w:cs="Manrope"/>
                <w:sz w:val="16"/>
                <w:szCs w:val="18"/>
              </w:rPr>
            </w:r>
          </w:p>
        </w:tc>
        <w:tc>
          <w:tcPr>
            <w:tcW w:w="1243" w:type="dxa"/>
            <w:vAlign w:val="center"/>
          </w:tcPr>
          <w:p w14:paraId="21B461F0" w14:textId="1C392026"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r>
          </w:p>
        </w:tc>
        <w:tc>
          <w:tcPr>
            <w:tcW w:w="1228" w:type="dxa"/>
            <w:vAlign w:val="center"/>
          </w:tcPr>
          <w:p w14:paraId="201DF048" w14:textId="6DEC8AB0"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r>
          </w:p>
        </w:tc>
        <w:tc>
          <w:tcPr>
            <w:tcW w:w="1134" w:type="dxa"/>
            <w:vAlign w:val="center"/>
          </w:tcPr>
          <w:p w14:paraId="3797C78F" w14:textId="5526245C"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r>
          </w:p>
        </w:tc>
      </w:tr>
      <w:tr w:rsidR="00E636A2" w:rsidRPr="001C4DFF" w14:paraId="47D03D81" w14:textId="77777777" w:rsidTr="00BC0FB4">
        <w:trPr>
          <w:trHeight w:val="227"/>
        </w:trPr>
        <w:tc>
          <w:tcPr>
            <w:tcW w:w="729" w:type="dxa"/>
            <w:vAlign w:val="center"/>
          </w:tcPr>
          <w:p w14:paraId="3825993D" w14:textId="77777777" w:rsidR="00E636A2" w:rsidRPr="001C4DFF" w:rsidRDefault="00E636A2" w:rsidP="006D3BBF">
            <w:pPr>
              <w:autoSpaceDE w:val="0"/>
              <w:autoSpaceDN w:val="0"/>
              <w:adjustRightInd w:val="0"/>
              <w:jc w:val="left"/>
              <w:rPr>
                <w:rFonts w:cs="Manrope"/>
              </w:rPr>
            </w:pPr>
          </w:p>
        </w:tc>
        <w:tc>
          <w:tcPr>
            <w:tcW w:w="4898" w:type="dxa"/>
            <w:vAlign w:val="center"/>
          </w:tcPr>
          <w:p w14:paraId="157495E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4A853A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389D199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DEC528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6E26211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D26DC87" w14:textId="77777777" w:rsidTr="00BC0FB4">
        <w:trPr>
          <w:trHeight w:val="227"/>
        </w:trPr>
        <w:tc>
          <w:tcPr>
            <w:tcW w:w="729" w:type="dxa"/>
            <w:vAlign w:val="center"/>
          </w:tcPr>
          <w:p w14:paraId="1AD46917" w14:textId="77777777" w:rsidR="00E636A2" w:rsidRPr="001C4DFF" w:rsidRDefault="00E636A2" w:rsidP="006D3BBF">
            <w:pPr>
              <w:autoSpaceDE w:val="0"/>
              <w:autoSpaceDN w:val="0"/>
              <w:adjustRightInd w:val="0"/>
              <w:jc w:val="left"/>
              <w:rPr>
                <w:rFonts w:cs="Manrope"/>
              </w:rPr>
            </w:pPr>
          </w:p>
        </w:tc>
        <w:tc>
          <w:tcPr>
            <w:tcW w:w="4898" w:type="dxa"/>
            <w:vAlign w:val="center"/>
          </w:tcPr>
          <w:p w14:paraId="61D0480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E6943D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75C412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93C824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15DF905"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4BFF072A" w14:textId="77777777" w:rsidTr="00BC0FB4">
        <w:trPr>
          <w:trHeight w:val="227"/>
        </w:trPr>
        <w:tc>
          <w:tcPr>
            <w:tcW w:w="729" w:type="dxa"/>
            <w:vAlign w:val="center"/>
          </w:tcPr>
          <w:p w14:paraId="37D5092A" w14:textId="77777777" w:rsidR="00BC3766" w:rsidRPr="001C4DFF" w:rsidRDefault="00BC3766" w:rsidP="006D3BBF">
            <w:pPr>
              <w:autoSpaceDE w:val="0"/>
              <w:autoSpaceDN w:val="0"/>
              <w:adjustRightInd w:val="0"/>
              <w:jc w:val="left"/>
              <w:rPr>
                <w:rFonts w:cs="Manrope"/>
              </w:rPr>
            </w:pPr>
          </w:p>
        </w:tc>
        <w:tc>
          <w:tcPr>
            <w:tcW w:w="4898" w:type="dxa"/>
            <w:vAlign w:val="center"/>
          </w:tcPr>
          <w:p w14:paraId="02CD599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1AF3AF3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11954F9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281A007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8915F3B"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48236CF2"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22F268C6" w14:textId="77777777" w:rsidR="00113FC0" w:rsidRDefault="00113FC0" w:rsidP="00113FC0">
      <w:pPr>
        <w:rPr>
          <w:b/>
          <w:sz w:val="32"/>
          <w:szCs w:val="32"/>
        </w:rPr>
      </w:pPr>
    </w:p>
    <w:p w14:paraId="48AA30FF"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1452378A" w14:textId="77777777" w:rsidR="00113FC0" w:rsidRPr="00B6370B" w:rsidRDefault="00113FC0" w:rsidP="00113FC0">
      <w:pPr>
        <w:jc w:val="center"/>
        <w:rPr>
          <w:b/>
          <w:sz w:val="32"/>
          <w:szCs w:val="32"/>
        </w:rPr>
      </w:pPr>
      <w:r w:rsidRPr="00B6370B">
        <w:rPr>
          <w:b/>
          <w:sz w:val="32"/>
          <w:szCs w:val="32"/>
        </w:rPr>
        <w:t>INDICE</w:t>
      </w:r>
    </w:p>
    <w:p>
      <w:fldSimple w:instr="TOC \o &quot;1-2&quot; \h \z \u"/>
    </w:p>
    <w:p>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pPr>
        <w:spacing w:after="140"/>
      </w:pPr>
      <w:r>
        <w:t>Questa guida accompagna l'utilizzatore dalla creazione del progetto alla lettura dei risultati e alla produzione dei report. Comprende i moduli geotecnici, i materiali, le sezioni in calcestruzzo armato, la sezione composta da ponte e Bridge Design. È riferita alla versione del repository aggiornata il 26 settembre 2026. La guida teorica separata descrive le formule e le scelte di modello; le due guide vanno utilizzate insieme quando si deve motivare un risultato.</w:t>
      </w:r>
    </w:p>
    <w:p>
      <w:pPr>
        <w:spacing w:after="140"/>
      </w:pPr>
      <w:r>
        <w:t>ANTHEA raccoglie strumenti con scopi diversi. Alcuni verificano una sezione o un meccanismo specifico, mentre Bridge Design produce ordini di grandezza. Il risultato di un foglio riguarda il suo modello e i dati inseriti: non equivale alla verifica completa della struttura o dell'opera. Il percorso operativo più utile consiste nel definire il problema, scegliere il foglio adatto, controllare le unità, esaminare gli avvisi e archiviare i dati insieme al report.</w:t>
      </w:r>
    </w:p>
    <w:p>
      <w:pPr>
        <w:pStyle w:val="Titolo1"/>
        <w:keepNext/>
        <w:spacing w:after="140"/>
      </w:pPr>
      <w:r>
        <w:t>Avvio e scelta del modulo</w:t>
      </w:r>
    </w:p>
    <w:p>
      <w:pPr>
        <w:pStyle w:val="Titolo2"/>
        <w:keepNext/>
        <w:spacing w:after="140"/>
      </w:pPr>
      <w:r>
        <w:t>Avviare la versione aggiornata</w:t>
      </w:r>
    </w:p>
    <w:p>
      <w:pPr>
        <w:spacing w:after="140"/>
      </w:pPr>
      <w:r>
        <w:t>Aprire Avvia ANTHEA.cmd nella cartella dell'applicazione. Il comando avvia app/ANTHEA.exe, quando presente; in ambiente di sviluppo può compilare e avviare il progetto. Compila.cmd aggiorna la distribuzione nella cartella app. La distribuzione dipendente dal framework richiede il runtime desktop .NET 8. Il sorgente e la distribuzione sono due cose distinte: modificare un file C# non aggiorna un eseguibile già pubblicato.</w:t>
      </w:r>
    </w:p>
    <w:p>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pPr>
        <w:pStyle w:val="Titolo2"/>
        <w:keepNext/>
        <w:spacing w:after="140"/>
      </w:pPr>
      <w:r>
        <w:t>Scegliere il foglio adatto</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1"/>
        <w:gridCol w:w="3402"/>
        <w:gridCol w:w="3855"/>
      </w:tblGrid>
      <w:tr>
        <w:trPr>
          <w:cantSplit/>
          <w:tblHeader/>
        </w:trPr>
        <w:tc>
          <w:tcPr>
            <w:tcW w:type="dxa" w:w="2381"/>
            <w:vAlign w:val="center"/>
            <w:tcMar>
              <w:top w:w="90" w:type="dxa"/>
              <w:left w:w="90" w:type="dxa"/>
              <w:bottom w:w="90" w:type="dxa"/>
              <w:right w:w="90" w:type="dxa"/>
            </w:tcMar>
            <w:shd w:fill="E7E6E6"/>
          </w:tcPr>
          <w:p>
            <w:pPr>
              <w:spacing w:before="20" w:after="20"/>
              <w:jc w:val="left"/>
            </w:pPr>
            <w:r>
              <w:rPr>
                <w:b/>
                <w:sz w:val="21"/>
              </w:rPr>
              <w:t>Foglio disponibile</w:t>
            </w:r>
          </w:p>
        </w:tc>
        <w:tc>
          <w:tcPr>
            <w:tcW w:type="dxa" w:w="3402"/>
            <w:vAlign w:val="center"/>
            <w:tcMar>
              <w:top w:w="90" w:type="dxa"/>
              <w:left w:w="90" w:type="dxa"/>
              <w:bottom w:w="90" w:type="dxa"/>
              <w:right w:w="90" w:type="dxa"/>
            </w:tcMar>
            <w:shd w:fill="E7E6E6"/>
          </w:tcPr>
          <w:p>
            <w:pPr>
              <w:spacing w:before="20" w:after="20"/>
              <w:jc w:val="left"/>
            </w:pPr>
            <w:r>
              <w:rPr>
                <w:b/>
                <w:sz w:val="21"/>
              </w:rPr>
              <w:t>Domanda alla quale risponde</w:t>
            </w:r>
          </w:p>
        </w:tc>
        <w:tc>
          <w:tcPr>
            <w:tcW w:type="dxa" w:w="3855"/>
            <w:vAlign w:val="center"/>
            <w:tcMar>
              <w:top w:w="90" w:type="dxa"/>
              <w:left w:w="90" w:type="dxa"/>
              <w:bottom w:w="90" w:type="dxa"/>
              <w:right w:w="90" w:type="dxa"/>
            </w:tcMar>
            <w:shd w:fill="E7E6E6"/>
          </w:tcPr>
          <w:p>
            <w:pPr>
              <w:spacing w:before="20" w:after="20"/>
              <w:jc w:val="left"/>
            </w:pPr>
            <w:r>
              <w:rPr>
                <w:b/>
                <w:sz w:val="21"/>
              </w:rPr>
              <w:t>Informazione da preparare</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Palo verticale</w:t>
            </w:r>
          </w:p>
        </w:tc>
        <w:tc>
          <w:tcPr>
            <w:tcW w:type="dxa" w:w="3402"/>
            <w:vAlign w:val="center"/>
            <w:tcMar>
              <w:top w:w="90" w:type="dxa"/>
              <w:left w:w="90" w:type="dxa"/>
              <w:bottom w:w="90" w:type="dxa"/>
              <w:right w:w="90" w:type="dxa"/>
            </w:tcMar>
          </w:tcPr>
          <w:p>
            <w:pPr>
              <w:spacing w:before="20" w:after="20"/>
              <w:jc w:val="left"/>
            </w:pPr>
            <w:r>
              <w:rPr>
                <w:b w:val="0"/>
                <w:sz w:val="21"/>
              </w:rPr>
              <w:t>Quale resistenza assiale geotecnica si ottiene con questi terreni e questa lunghezza</w:t>
            </w:r>
          </w:p>
        </w:tc>
        <w:tc>
          <w:tcPr>
            <w:tcW w:type="dxa" w:w="3855"/>
            <w:vAlign w:val="center"/>
            <w:tcMar>
              <w:top w:w="90" w:type="dxa"/>
              <w:left w:w="90" w:type="dxa"/>
              <w:bottom w:w="90" w:type="dxa"/>
              <w:right w:w="90" w:type="dxa"/>
            </w:tcMar>
          </w:tcPr>
          <w:p>
            <w:pPr>
              <w:spacing w:before="20" w:after="20"/>
              <w:jc w:val="left"/>
            </w:pPr>
            <w:r>
              <w:rPr>
                <w:b w:val="0"/>
                <w:sz w:val="21"/>
              </w:rPr>
              <w:t>Stratigrafie, falda, tecnologia, azioni e coefficienti</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Micropalo verticale</w:t>
            </w:r>
          </w:p>
        </w:tc>
        <w:tc>
          <w:tcPr>
            <w:tcW w:type="dxa" w:w="3402"/>
            <w:vAlign w:val="center"/>
            <w:tcMar>
              <w:top w:w="90" w:type="dxa"/>
              <w:left w:w="90" w:type="dxa"/>
              <w:bottom w:w="90" w:type="dxa"/>
              <w:right w:w="90" w:type="dxa"/>
            </w:tcMar>
          </w:tcPr>
          <w:p>
            <w:pPr>
              <w:spacing w:before="20" w:after="20"/>
              <w:jc w:val="left"/>
            </w:pPr>
            <w:r>
              <w:rPr>
                <w:b w:val="0"/>
                <w:sz w:val="21"/>
              </w:rPr>
              <w:t>Quale resistenza del bulbo iniettato è compatibile con l'abaco scelto</w:t>
            </w:r>
          </w:p>
        </w:tc>
        <w:tc>
          <w:tcPr>
            <w:tcW w:type="dxa" w:w="3855"/>
            <w:vAlign w:val="center"/>
            <w:tcMar>
              <w:top w:w="90" w:type="dxa"/>
              <w:left w:w="90" w:type="dxa"/>
              <w:bottom w:w="90" w:type="dxa"/>
              <w:right w:w="90" w:type="dxa"/>
            </w:tcMar>
          </w:tcPr>
          <w:p>
            <w:pPr>
              <w:spacing w:before="20" w:after="20"/>
              <w:jc w:val="left"/>
            </w:pPr>
            <w:r>
              <w:rPr>
                <w:b w:val="0"/>
                <w:sz w:val="21"/>
              </w:rPr>
              <w:t>Terreni, p_l, iniezione, diametri, inclinazione e tratto attivo</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Palo orizzontale</w:t>
            </w:r>
          </w:p>
        </w:tc>
        <w:tc>
          <w:tcPr>
            <w:tcW w:type="dxa" w:w="3402"/>
            <w:vAlign w:val="center"/>
            <w:tcMar>
              <w:top w:w="90" w:type="dxa"/>
              <w:left w:w="90" w:type="dxa"/>
              <w:bottom w:w="90" w:type="dxa"/>
              <w:right w:w="90" w:type="dxa"/>
            </w:tcMar>
          </w:tcPr>
          <w:p>
            <w:pPr>
              <w:spacing w:before="20" w:after="20"/>
              <w:jc w:val="left"/>
            </w:pPr>
            <w:r>
              <w:rPr>
                <w:b w:val="0"/>
                <w:sz w:val="21"/>
              </w:rPr>
              <w:t>Quale carico limite laterale risulta dal meccanismo di Broms</w:t>
            </w:r>
          </w:p>
        </w:tc>
        <w:tc>
          <w:tcPr>
            <w:tcW w:type="dxa" w:w="3855"/>
            <w:vAlign w:val="center"/>
            <w:tcMar>
              <w:top w:w="90" w:type="dxa"/>
              <w:left w:w="90" w:type="dxa"/>
              <w:bottom w:w="90" w:type="dxa"/>
              <w:right w:w="90" w:type="dxa"/>
            </w:tcMar>
          </w:tcPr>
          <w:p>
            <w:pPr>
              <w:spacing w:before="20" w:after="20"/>
              <w:jc w:val="left"/>
            </w:pPr>
            <w:r>
              <w:rPr>
                <w:b w:val="0"/>
                <w:sz w:val="21"/>
              </w:rPr>
              <w:t>Terreno, diametro, lunghezza, vincolo e momento resistente</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Micropalo orizzontale</w:t>
            </w:r>
          </w:p>
        </w:tc>
        <w:tc>
          <w:tcPr>
            <w:tcW w:type="dxa" w:w="3402"/>
            <w:vAlign w:val="center"/>
            <w:tcMar>
              <w:top w:w="90" w:type="dxa"/>
              <w:left w:w="90" w:type="dxa"/>
              <w:bottom w:w="90" w:type="dxa"/>
              <w:right w:w="90" w:type="dxa"/>
            </w:tcMar>
          </w:tcPr>
          <w:p>
            <w:pPr>
              <w:spacing w:before="20" w:after="20"/>
              <w:jc w:val="left"/>
            </w:pPr>
            <w:r>
              <w:rPr>
                <w:b w:val="0"/>
                <w:sz w:val="21"/>
              </w:rPr>
              <w:t>Quale capacità laterale risulta usando una sezione tubolare CHS</w:t>
            </w:r>
          </w:p>
        </w:tc>
        <w:tc>
          <w:tcPr>
            <w:tcW w:type="dxa" w:w="3855"/>
            <w:vAlign w:val="center"/>
            <w:tcMar>
              <w:top w:w="90" w:type="dxa"/>
              <w:left w:w="90" w:type="dxa"/>
              <w:bottom w:w="90" w:type="dxa"/>
              <w:right w:w="90" w:type="dxa"/>
            </w:tcMar>
          </w:tcPr>
          <w:p>
            <w:pPr>
              <w:spacing w:before="20" w:after="20"/>
              <w:jc w:val="left"/>
            </w:pPr>
            <w:r>
              <w:rPr>
                <w:b w:val="0"/>
                <w:sz w:val="21"/>
              </w:rPr>
              <w:t>Diametro geotecnico, tubo, materiale, N e terreno</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Sezione in c a</w:t>
            </w:r>
          </w:p>
        </w:tc>
        <w:tc>
          <w:tcPr>
            <w:tcW w:type="dxa" w:w="3402"/>
            <w:vAlign w:val="center"/>
            <w:tcMar>
              <w:top w:w="90" w:type="dxa"/>
              <w:left w:w="90" w:type="dxa"/>
              <w:bottom w:w="90" w:type="dxa"/>
              <w:right w:w="90" w:type="dxa"/>
            </w:tcMar>
          </w:tcPr>
          <w:p>
            <w:pPr>
              <w:spacing w:before="20" w:after="20"/>
              <w:jc w:val="left"/>
            </w:pPr>
            <w:r>
              <w:rPr>
                <w:b w:val="0"/>
                <w:sz w:val="21"/>
              </w:rPr>
              <w:t>Come risponde e si verifica una sezione assegnata</w:t>
            </w:r>
          </w:p>
        </w:tc>
        <w:tc>
          <w:tcPr>
            <w:tcW w:type="dxa" w:w="3855"/>
            <w:vAlign w:val="center"/>
            <w:tcMar>
              <w:top w:w="90" w:type="dxa"/>
              <w:left w:w="90" w:type="dxa"/>
              <w:bottom w:w="90" w:type="dxa"/>
              <w:right w:w="90" w:type="dxa"/>
            </w:tcMar>
          </w:tcPr>
          <w:p>
            <w:pPr>
              <w:spacing w:before="20" w:after="20"/>
              <w:jc w:val="left"/>
            </w:pPr>
            <w:r>
              <w:rPr>
                <w:b w:val="0"/>
                <w:sz w:val="21"/>
              </w:rPr>
              <w:t>Geometria, barre, materiali e combinazioni N M V T</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Sezione composta</w:t>
            </w:r>
          </w:p>
        </w:tc>
        <w:tc>
          <w:tcPr>
            <w:tcW w:type="dxa" w:w="3402"/>
            <w:vAlign w:val="center"/>
            <w:tcMar>
              <w:top w:w="90" w:type="dxa"/>
              <w:left w:w="90" w:type="dxa"/>
              <w:bottom w:w="90" w:type="dxa"/>
              <w:right w:w="90" w:type="dxa"/>
            </w:tcMar>
          </w:tcPr>
          <w:p>
            <w:pPr>
              <w:spacing w:before="20" w:after="20"/>
              <w:jc w:val="left"/>
            </w:pPr>
            <w:r>
              <w:rPr>
                <w:b w:val="0"/>
                <w:sz w:val="21"/>
              </w:rPr>
              <w:t>Come si ripartiscono le tensioni in una sezione da ponte attraverso le fasi</w:t>
            </w:r>
          </w:p>
        </w:tc>
        <w:tc>
          <w:tcPr>
            <w:tcW w:type="dxa" w:w="3855"/>
            <w:vAlign w:val="center"/>
            <w:tcMar>
              <w:top w:w="90" w:type="dxa"/>
              <w:left w:w="90" w:type="dxa"/>
              <w:bottom w:w="90" w:type="dxa"/>
              <w:right w:w="90" w:type="dxa"/>
            </w:tcMar>
          </w:tcPr>
          <w:p>
            <w:pPr>
              <w:spacing w:before="20" w:after="20"/>
              <w:jc w:val="left"/>
            </w:pPr>
            <w:r>
              <w:rPr>
                <w:b w:val="0"/>
                <w:sz w:val="21"/>
              </w:rPr>
              <w:t>H saldato, soletta, piatti, barre, fasi e metodo</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Bridge Design</w:t>
            </w:r>
          </w:p>
        </w:tc>
        <w:tc>
          <w:tcPr>
            <w:tcW w:type="dxa" w:w="3402"/>
            <w:vAlign w:val="center"/>
            <w:tcMar>
              <w:top w:w="90" w:type="dxa"/>
              <w:left w:w="90" w:type="dxa"/>
              <w:bottom w:w="90" w:type="dxa"/>
              <w:right w:w="90" w:type="dxa"/>
            </w:tcMar>
          </w:tcPr>
          <w:p>
            <w:pPr>
              <w:spacing w:before="20" w:after="20"/>
              <w:jc w:val="left"/>
            </w:pPr>
            <w:r>
              <w:rPr>
                <w:b w:val="0"/>
                <w:sz w:val="21"/>
              </w:rPr>
              <w:t>Quale configurazione preliminare, quantità, costo e CO₂ sono plausibili</w:t>
            </w:r>
          </w:p>
        </w:tc>
        <w:tc>
          <w:tcPr>
            <w:tcW w:type="dxa" w:w="3855"/>
            <w:vAlign w:val="center"/>
            <w:tcMar>
              <w:top w:w="90" w:type="dxa"/>
              <w:left w:w="90" w:type="dxa"/>
              <w:bottom w:w="90" w:type="dxa"/>
              <w:right w:w="90" w:type="dxa"/>
            </w:tcMar>
          </w:tcPr>
          <w:p>
            <w:pPr>
              <w:spacing w:before="20" w:after="20"/>
              <w:jc w:val="left"/>
            </w:pPr>
            <w:r>
              <w:rPr>
                <w:b w:val="0"/>
                <w:sz w:val="21"/>
              </w:rPr>
              <w:t>Sito, campate, larghezza, famiglia, fondazioni e listino</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Calcestruzzo e durabilità</w:t>
            </w:r>
          </w:p>
        </w:tc>
        <w:tc>
          <w:tcPr>
            <w:tcW w:type="dxa" w:w="3402"/>
            <w:vAlign w:val="center"/>
            <w:tcMar>
              <w:top w:w="90" w:type="dxa"/>
              <w:left w:w="90" w:type="dxa"/>
              <w:bottom w:w="90" w:type="dxa"/>
              <w:right w:w="90" w:type="dxa"/>
            </w:tcMar>
          </w:tcPr>
          <w:p>
            <w:pPr>
              <w:spacing w:before="20" w:after="20"/>
              <w:jc w:val="left"/>
            </w:pPr>
            <w:r>
              <w:rPr>
                <w:b w:val="0"/>
                <w:sz w:val="21"/>
              </w:rPr>
              <w:t>Quali requisiti del materiale e del copriferro derivano dalle scelte assegnate</w:t>
            </w:r>
          </w:p>
        </w:tc>
        <w:tc>
          <w:tcPr>
            <w:tcW w:type="dxa" w:w="3855"/>
            <w:vAlign w:val="center"/>
            <w:tcMar>
              <w:top w:w="90" w:type="dxa"/>
              <w:left w:w="90" w:type="dxa"/>
              <w:bottom w:w="90" w:type="dxa"/>
              <w:right w:w="90" w:type="dxa"/>
            </w:tcMar>
          </w:tcPr>
          <w:p>
            <w:pPr>
              <w:spacing w:before="20" w:after="20"/>
              <w:jc w:val="left"/>
            </w:pPr>
            <w:r>
              <w:rPr>
                <w:b w:val="0"/>
                <w:sz w:val="21"/>
              </w:rPr>
              <w:t>Esposizioni, vita, materiale, diametri e condizioni esecutive</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Acciaio per armature</w:t>
            </w:r>
          </w:p>
        </w:tc>
        <w:tc>
          <w:tcPr>
            <w:tcW w:type="dxa" w:w="3402"/>
            <w:vAlign w:val="center"/>
            <w:tcMar>
              <w:top w:w="90" w:type="dxa"/>
              <w:left w:w="90" w:type="dxa"/>
              <w:bottom w:w="90" w:type="dxa"/>
              <w:right w:w="90" w:type="dxa"/>
            </w:tcMar>
          </w:tcPr>
          <w:p>
            <w:pPr>
              <w:spacing w:before="20" w:after="20"/>
              <w:jc w:val="left"/>
            </w:pPr>
            <w:r>
              <w:rPr>
                <w:b w:val="0"/>
                <w:sz w:val="21"/>
              </w:rPr>
              <w:t>Quali proprietà e diagramma usare per l'armatura</w:t>
            </w:r>
          </w:p>
        </w:tc>
        <w:tc>
          <w:tcPr>
            <w:tcW w:type="dxa" w:w="3855"/>
            <w:vAlign w:val="center"/>
            <w:tcMar>
              <w:top w:w="90" w:type="dxa"/>
              <w:left w:w="90" w:type="dxa"/>
              <w:bottom w:w="90" w:type="dxa"/>
              <w:right w:w="90" w:type="dxa"/>
            </w:tcMar>
          </w:tcPr>
          <w:p>
            <w:pPr>
              <w:spacing w:before="20" w:after="20"/>
              <w:jc w:val="left"/>
            </w:pPr>
            <w:r>
              <w:rPr>
                <w:b w:val="0"/>
                <w:sz w:val="21"/>
              </w:rPr>
              <w:t>Classe o dati personalizzati e coefficienti</w:t>
            </w:r>
          </w:p>
        </w:tc>
      </w:tr>
    </w:tbl>
    <w:p>
      <w:pPr>
        <w:spacing w:after="0"/>
      </w:pPr>
    </w:p>
    <w:p>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pPr>
        <w:pStyle w:val="Titolo2"/>
        <w:keepNext/>
        <w:spacing w:after="140"/>
      </w:pPr>
      <w:r>
        <w:t>Leggere e compilare i campi</w:t>
      </w:r>
    </w:p>
    <w:p>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ma un valore in MPa è mille volte il corrispondente valore espresso in kPa.</w:t>
      </w:r>
    </w:p>
    <w:p>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pPr>
        <w:spacing w:after="140"/>
      </w:pPr>
      <w:r>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pPr>
        <w:pStyle w:val="Titolo1"/>
        <w:keepNext/>
        <w:spacing w:after="140"/>
      </w:pPr>
      <w:r>
        <w:t>Progetti e gestione del lavoro</w:t>
      </w:r>
    </w:p>
    <w:p>
      <w:pPr>
        <w:pStyle w:val="Titolo2"/>
        <w:keepNext/>
        <w:spacing w:after="140"/>
      </w:pPr>
      <w:r>
        <w:t>Costruire una struttura leggibile</w:t>
      </w:r>
    </w:p>
    <w:p>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pPr>
        <w:pStyle w:val="Titolo2"/>
        <w:keepNext/>
        <w:spacing w:after="140"/>
      </w:pPr>
      <w:r>
        <w:t>Comprendere i dati comuni</w:t>
      </w:r>
    </w:p>
    <w:p>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 da un antenato.</w:t>
      </w:r>
    </w:p>
    <w:p>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pPr>
        <w:spacing w:after="140"/>
      </w:pPr>
      <w:r>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pPr>
        <w:pStyle w:val="Titolo2"/>
        <w:keepNext/>
        <w:spacing w:after="140"/>
      </w:pPr>
      <w:r>
        <w:t>Spostare duplicare e annullare</w:t>
      </w:r>
    </w:p>
    <w:p>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pPr>
        <w:pStyle w:val="Titolo2"/>
        <w:keepNext/>
        <w:spacing w:after="140"/>
      </w:pPr>
      <w:r>
        <w:t>Usare le revisioni</w:t>
      </w:r>
    </w:p>
    <w:p>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pPr>
        <w:pStyle w:val="Titolo1"/>
        <w:keepNext/>
        <w:spacing w:after="140"/>
      </w:pPr>
      <w:r>
        <w:t>Materiali e durabilità</w:t>
      </w:r>
    </w:p>
    <w:p>
      <w:pPr>
        <w:pStyle w:val="Titolo2"/>
        <w:keepNext/>
        <w:spacing w:after="140"/>
      </w:pPr>
      <w:r>
        <w:t>Preparare il calcestruzzo</w:t>
      </w:r>
    </w:p>
    <w:p>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pPr>
        <w:pStyle w:val="Titolo2"/>
        <w:keepNext/>
        <w:spacing w:after="140"/>
      </w:pPr>
      <w:r>
        <w:t>Preparare l'acciaio per armature</w:t>
      </w:r>
    </w:p>
    <w:p>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pPr>
        <w:pStyle w:val="Titolo1"/>
        <w:keepNext/>
        <w:spacing w:after="140"/>
      </w:pPr>
      <w:r>
        <w:t>Palo verticale</w:t>
      </w:r>
    </w:p>
    <w:p>
      <w:pPr>
        <w:pStyle w:val="Titolo2"/>
        <w:keepNext/>
        <w:spacing w:after="140"/>
      </w:pPr>
      <w:r>
        <w:t>Compilazione ordinata</w:t>
      </w:r>
    </w:p>
    <w:p>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pPr>
        <w:spacing w:after="140"/>
      </w:pPr>
      <w:r>
        <w:t>Per un calcolo drenato occorrono i parametri efficaci. Per il ramo non drenato degli strati coesivi occorre Cu; il programma considera anche la posizione della falda per decidere il tratto nel quale applicare quel ramo. Non usare c′ e Cu come sinonimi. Negli strati granulari il contributo c′ alla resistenza laterale drenata è nullo, anche se il campo contiene un numero.</w:t>
      </w:r>
    </w:p>
    <w:p>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pPr>
        <w:pStyle w:val="Titolo2"/>
        <w:keepNext/>
        <w:spacing w:after="140"/>
      </w:pPr>
      <w:r>
        <w:t>Coefficienti e gruppo di pali</w:t>
      </w:r>
    </w:p>
    <w:p>
      <w:pPr>
        <w:spacing w:after="140"/>
      </w:pPr>
      <w:r>
        <w:t>Verificare K e μ proposti per la tecnologia e l'addensamento. Controllare l'abaco Nq e la posizione del punto: un parametro sul bordo dell'abaco non dimostra che il terreno appartenga al campo sperimentale. Il numero di indagini scelto per ξ non è semplicemente il numero di linguette visibili. Deve rappresentare la base conoscitiva che si intende utilizzare.</w:t>
      </w:r>
    </w:p>
    <w:p>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pPr>
        <w:pStyle w:val="Titolo2"/>
        <w:keepNext/>
        <w:spacing w:after="140"/>
      </w:pPr>
      <w:r>
        <w:t>Leggere i risultati</w:t>
      </w:r>
    </w:p>
    <w:p>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pPr>
        <w:pStyle w:val="Titolo2"/>
        <w:keepNext/>
        <w:spacing w:after="140"/>
      </w:pPr>
      <w:r>
        <w:t>Esempio di controllo manuale</w:t>
      </w:r>
    </w:p>
    <w:p>
      <w:pPr>
        <w:spacing w:after="140"/>
      </w:pPr>
      <w:r>
        <w:t>Per una sola tratta con D = 1 m, lunghezza attiva 10 m e resistenza laterale uniforme τ = 50 kPa, il contributo laterale è π × 1 × 10 × 50 = 1570,8 kN. Questo è un controllo della geometria e delle unità, prima dei coefficienti ξ, γ ed η. Se il foglio restituisce un ordine di grandezza mille volte diverso, verificare MPa contro kPa e metri contro millimetri.</w:t>
      </w:r>
    </w:p>
    <w:p>
      <w:pPr>
        <w:spacing w:after="140"/>
      </w:pPr>
      <w:r>
        <w:t>Procedere poi con i parametri realmente variabili del terreno. Non inserire τ = 50 nel campo Cu o c′ aspettandosi lo stesso risultato: quei parametri entrano in formule differenti. L'esempio serve a leggere il contributo restituito, non a sostituire il modello geotecnico.</w:t>
      </w:r>
    </w:p>
    <w:p>
      <w:pPr>
        <w:pStyle w:val="Titolo1"/>
        <w:keepNext/>
        <w:spacing w:after="140"/>
      </w:pPr>
      <w:r>
        <w:t>Micropalo verticale</w:t>
      </w:r>
    </w:p>
    <w:p>
      <w:pPr>
        <w:pStyle w:val="Titolo2"/>
        <w:keepNext/>
        <w:spacing w:after="140"/>
      </w:pPr>
      <w:r>
        <w:t>Dati del bulbo e dell'iniezione</w:t>
      </w:r>
    </w:p>
    <w:p>
      <w:pPr>
        <w:spacing w:after="140"/>
      </w:pPr>
      <w:r>
        <w:t>Assegnare diametro di perforazione, iniezione IGU o IRS, famiglia di terreno, coefficiente di espansione α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pPr>
        <w:pStyle w:val="Titolo2"/>
        <w:keepNext/>
        <w:spacing w:after="140"/>
      </w:pPr>
      <w:r>
        <w:t>Tubo e peso</w:t>
      </w:r>
    </w:p>
    <w:p>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pPr>
        <w:spacing w:after="140"/>
      </w:pPr>
      <w:r>
        <w:t>Verificare che p_l rientri nel campo della curva selezionata: il motore rifiuta l'estrapolazione. Un messaggio di fuori abaco va risolto cambiando la base di calcolo o il dato, non forzando il valore al bordo senza motivazione. Nel report conservare curva, tipo di iniezione, α, pressione e tratte: sono le informazioni che consentono di ricostruire la stima.</w:t>
      </w:r>
    </w:p>
    <w:p>
      <w:pPr>
        <w:pStyle w:val="Titolo1"/>
        <w:keepNext/>
        <w:spacing w:after="140"/>
      </w:pPr>
      <w:r>
        <w:t>Pali e micropali caricati orizzontalmente</w:t>
      </w:r>
    </w:p>
    <w:p>
      <w:pPr>
        <w:pStyle w:val="Titolo2"/>
        <w:keepNext/>
        <w:spacing w:after="140"/>
      </w:pPr>
      <w:r>
        <w:t>Preparare un modello coerente</w:t>
      </w:r>
    </w:p>
    <w:p>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pPr>
        <w:spacing w:after="140"/>
      </w:pPr>
      <w:r>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pPr>
        <w:pStyle w:val="Titolo2"/>
        <w:keepNext/>
        <w:spacing w:after="140"/>
      </w:pPr>
      <w:r>
        <w:t>Momento resistente del palo in calcestruzzo</w:t>
      </w:r>
    </w:p>
    <w:p>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pPr>
        <w:pStyle w:val="Titolo2"/>
        <w:keepNext/>
        <w:spacing w:after="140"/>
      </w:pPr>
      <w:r>
        <w:t>Sezione CHS del micropalo</w:t>
      </w:r>
    </w:p>
    <w:p>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pPr>
        <w:spacing w:after="140"/>
      </w:pPr>
      <w:r>
        <w:t>Un tubo classificato fuori campo richiede un altro calcolo di sezione oppure un My documentato. Non basta che l'area del tubo sia grande: snellezza locale, sforzo normale e possibile instabilità globale pongono problemi differenti.</w:t>
      </w:r>
    </w:p>
    <w:p>
      <w:pPr>
        <w:pStyle w:val="Titolo2"/>
        <w:keepNext/>
        <w:spacing w:after="140"/>
      </w:pPr>
      <w:r>
        <w:t>Interpretare diagrammi e capacità</w:t>
      </w:r>
    </w:p>
    <w:p>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pPr>
        <w:spacing w:after="140"/>
      </w:pPr>
      <w:r>
        <w:t>Nei regimi granulari corti o intermedi può comparire una reazione concentrata al piede, necessaria per l'equilibrio del modello. Un salto nel taglio in quel punto non è necessariamente un errore grafico. Il risultato non include spostamenti laterali di esercizio e non è una soluzione con molle p y. Se il problema principale è limitare la rotazione in testa o lo spostamento, occorre un modello di deformabilità ulteriore.</w:t>
      </w:r>
    </w:p>
    <w:p>
      <w:pPr>
        <w:pStyle w:val="Titolo1"/>
        <w:keepNext/>
        <w:spacing w:after="140"/>
      </w:pPr>
      <w:r>
        <w:t>Sezione in calcestruzzo armato</w:t>
      </w:r>
    </w:p>
    <w:p>
      <w:pPr>
        <w:pStyle w:val="Titolo2"/>
        <w:keepNext/>
        <w:spacing w:after="140"/>
      </w:pPr>
      <w:r>
        <w:t>Geometria barre e materiali</w:t>
      </w:r>
    </w:p>
    <w:p>
      <w:pPr>
        <w:spacing w:after="140"/>
      </w:pPr>
      <w:r>
        <w:t>Nel pannello di controllo scegliere rettangolo, cerchio o T e definire le dimensioni in millimetri. I fori centrali sono disponibili per le geometrie ammesse: controllare dimensioni, posizione e sezione netta. La circonferenza è rappresentata da un poligono; aumentarne i lati serve alla discretizzazione geometrica e non coincide con l'aumento delle divisioni angolari del dominio.</w:t>
      </w:r>
    </w:p>
    <w:p>
      <w:pPr>
        <w:spacing w:after="140"/>
      </w:pPr>
      <w:r>
        <w:t>Compilare le barre per coordinate o disposizioni previste dalla scheda. Le barre sono identificate singolarmente e devono trovarsi nel calcestruzzo, fuori dai vuoti. Nella T controllare anche le barre presso l'ala e gli angoli superiori della staffa d'anima. Il disegno è il primo controllo dell'input: contare le barre e confrontare l'area totale con quella attesa.</w:t>
      </w:r>
    </w:p>
    <w:p>
      <w:pPr>
        <w:spacing w:after="140"/>
      </w:pPr>
      <w:r>
        <w:t>Per un tendine usare l'area metallica effettiva e la tensione iniziale efficace. Il diametro equivalente di un gruppo serve a rappresentarne l'area, non è il diametro esterno nominale di una guaina. Il foglio non ricava automaticamente tutte le perdite di precompressione: il valore iniziale deve essere già coerente con la situazione analizzata.</w:t>
      </w:r>
    </w:p>
    <w:p>
      <w:pPr>
        <w:pStyle w:val="Titolo2"/>
        <w:keepNext/>
        <w:spacing w:after="140"/>
      </w:pPr>
      <w:r>
        <w:t>Azioni assi e convenzioni</w:t>
      </w:r>
    </w:p>
    <w:p>
      <w:pPr>
        <w:spacing w:after="140"/>
      </w:pPr>
      <w:r>
        <w:t>Nella sezione in c.a. N negativo indica compressione. Le azioni sono in kN e kNm; i materiali in MPa. Esaminare gli assi riportati sulla sezione e l'eventuale rotazione verso gli assi principali o scelti dall'utente. La posizione di un punto nel dominio si interpreta nel sistema di riferimento indicato dal foglio, non in un sistema ricordato da un altro programma.</w:t>
      </w:r>
    </w:p>
    <w:p>
      <w:pPr>
        <w:spacing w:after="140"/>
      </w:pPr>
      <w:r>
        <w:t>Inserire combinazioni già definite. Le famiglie Rara, Frequente e Quasi permanente identificano gli stati di esercizio da verificare; il foglio non deduce automaticamente tutte le combinazioni dai singoli carichi dell'opera. Cambiare la famiglia senza aggiornare le azioni non crea una nuova combinazione corretta.</w:t>
      </w:r>
    </w:p>
    <w:p>
      <w:pPr>
        <w:pStyle w:val="Titolo2"/>
        <w:keepNext/>
        <w:spacing w:after="140"/>
      </w:pPr>
      <w:r>
        <w:t>Domini tridimensionali e bidimensionali</w:t>
      </w:r>
    </w:p>
    <w:p>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pPr>
        <w:spacing w:after="140"/>
      </w:pPr>
      <w:r>
        <w:t>I nomi Plastico ed Elastico descrivono i modelli disponibili. Eventuali chiavi storiche SLU e SLV nei file non vanno interpretate come una generazione automatica di verifiche sismiche a un livello di danno.</w:t>
      </w:r>
    </w:p>
    <w:p>
      <w:pPr>
        <w:pStyle w:val="Titolo2"/>
        <w:keepNext/>
        <w:spacing w:after="140"/>
      </w:pPr>
      <w:r>
        <w:t>Tensioni e fessurazione</w:t>
      </w:r>
    </w:p>
    <w:p>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pPr>
        <w:spacing w:after="140"/>
      </w:pPr>
      <w:r>
        <w:t>La trazione dell'intera sezione segue un ramo specifico con regioni di bordo. Le superfici dei fori e le disposizioni non supportate non devono essere considerate verificate perché il disegno appare completo. Analogamente, una soluzione tensionale non lineare o una sezione con tendini può avere disponibilità diversa per il controllo di fessurazione. Leggere lo stato della singola verifica, non soltanto il grafico delle tensioni.</w:t>
      </w:r>
    </w:p>
    <w:p>
      <w:pPr>
        <w:pStyle w:val="Titolo2"/>
        <w:keepNext/>
        <w:spacing w:after="140"/>
      </w:pPr>
      <w:r>
        <w:t>Taglio torsione e dettagli</w:t>
      </w:r>
    </w:p>
    <w:p>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pPr>
        <w:pStyle w:val="Titolo2"/>
        <w:keepNext/>
        <w:spacing w:after="140"/>
      </w:pPr>
      <w:r>
        <w:t>Curva momento curvatura e aggiornamento</w:t>
      </w:r>
    </w:p>
    <w:p>
      <w:pPr>
        <w:spacing w:after="140"/>
      </w:pPr>
      <w:r>
        <w:t>La curva M χ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pPr>
        <w:pStyle w:val="Titolo1"/>
        <w:keepNext/>
        <w:spacing w:after="140"/>
      </w:pPr>
      <w:r>
        <w:t>Sezione composta da ponte</w:t>
      </w:r>
    </w:p>
    <w:p>
      <w:pPr>
        <w:pStyle w:val="Titolo2"/>
        <w:keepNext/>
        <w:spacing w:after="140"/>
      </w:pPr>
      <w:r>
        <w:t>Definire la sezione locale</w:t>
      </w:r>
    </w:p>
    <w:p>
      <w:pPr>
        <w:spacing w:after="140"/>
      </w:pPr>
      <w:r>
        <w:t>Nel pannello di controllo inserire H saldato, soletta, piattabande inferiori aggiunte e armature opzionali. L'altezza dell'anima è quella netta fra le flange, secondo le etichette del modulo. Le due piattabande inferiori sono piastre reali distinte, con spessore e larghezza propri. La seconda non deve essere più larga della prima nel modello disponibile.</w:t>
      </w:r>
    </w:p>
    <w:p>
      <w:pPr>
        <w:spacing w:after="140"/>
      </w:pPr>
      <w:r>
        <w:t>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pPr>
        <w:pStyle w:val="Titolo2"/>
        <w:keepNext/>
        <w:spacing w:after="140"/>
      </w:pPr>
      <w:r>
        <w:t>Scegliere consapevolmente il metodo</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1"/>
        <w:gridCol w:w="3402"/>
        <w:gridCol w:w="3855"/>
      </w:tblGrid>
      <w:tr>
        <w:trPr>
          <w:cantSplit/>
          <w:tblHeader/>
        </w:trPr>
        <w:tc>
          <w:tcPr>
            <w:tcW w:type="dxa" w:w="2381"/>
            <w:vAlign w:val="center"/>
            <w:tcMar>
              <w:top w:w="90" w:type="dxa"/>
              <w:left w:w="90" w:type="dxa"/>
              <w:bottom w:w="90" w:type="dxa"/>
              <w:right w:w="90" w:type="dxa"/>
            </w:tcMar>
            <w:shd w:fill="E7E6E6"/>
          </w:tcPr>
          <w:p>
            <w:pPr>
              <w:spacing w:before="20" w:after="20"/>
              <w:jc w:val="left"/>
            </w:pPr>
            <w:r>
              <w:rPr>
                <w:b/>
                <w:sz w:val="21"/>
              </w:rPr>
              <w:t>Metodo</w:t>
            </w:r>
          </w:p>
        </w:tc>
        <w:tc>
          <w:tcPr>
            <w:tcW w:type="dxa" w:w="3402"/>
            <w:vAlign w:val="center"/>
            <w:tcMar>
              <w:top w:w="90" w:type="dxa"/>
              <w:left w:w="90" w:type="dxa"/>
              <w:bottom w:w="90" w:type="dxa"/>
              <w:right w:w="90" w:type="dxa"/>
            </w:tcMar>
            <w:shd w:fill="E7E6E6"/>
          </w:tcPr>
          <w:p>
            <w:pPr>
              <w:spacing w:before="20" w:after="20"/>
              <w:jc w:val="center"/>
            </w:pPr>
            <w:r>
              <w:rPr>
                <w:b/>
                <w:sz w:val="21"/>
              </w:rPr>
              <w:t>Impiego operativo</w:t>
            </w:r>
          </w:p>
        </w:tc>
        <w:tc>
          <w:tcPr>
            <w:tcW w:type="dxa" w:w="3855"/>
            <w:vAlign w:val="center"/>
            <w:tcMar>
              <w:top w:w="90" w:type="dxa"/>
              <w:left w:w="90" w:type="dxa"/>
              <w:bottom w:w="90" w:type="dxa"/>
              <w:right w:w="90" w:type="dxa"/>
            </w:tcMar>
            <w:shd w:fill="E7E6E6"/>
          </w:tcPr>
          <w:p>
            <w:pPr>
              <w:spacing w:before="20" w:after="20"/>
              <w:jc w:val="left"/>
            </w:pPr>
            <w:r>
              <w:rPr>
                <w:b/>
                <w:sz w:val="21"/>
              </w:rPr>
              <w:t>Aspetto da controllare</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Cumulativo</w:t>
            </w:r>
          </w:p>
        </w:tc>
        <w:tc>
          <w:tcPr>
            <w:tcW w:type="dxa" w:w="3402"/>
            <w:vAlign w:val="center"/>
            <w:tcMar>
              <w:top w:w="90" w:type="dxa"/>
              <w:left w:w="90" w:type="dxa"/>
              <w:bottom w:w="90" w:type="dxa"/>
              <w:right w:w="90" w:type="dxa"/>
            </w:tcMar>
          </w:tcPr>
          <w:p>
            <w:pPr>
              <w:spacing w:before="20" w:after="20"/>
              <w:jc w:val="left"/>
            </w:pPr>
            <w:r>
              <w:rPr>
                <w:b w:val="0"/>
                <w:sz w:val="21"/>
              </w:rPr>
              <w:t>Somma di contributi elastici delle fasi sulla geometria efficace comune</w:t>
            </w:r>
          </w:p>
        </w:tc>
        <w:tc>
          <w:tcPr>
            <w:tcW w:type="dxa" w:w="3855"/>
            <w:vAlign w:val="center"/>
            <w:tcMar>
              <w:top w:w="90" w:type="dxa"/>
              <w:left w:w="90" w:type="dxa"/>
              <w:bottom w:w="90" w:type="dxa"/>
              <w:right w:w="90" w:type="dxa"/>
            </w:tcMar>
          </w:tcPr>
          <w:p>
            <w:pPr>
              <w:spacing w:before="20" w:after="20"/>
              <w:jc w:val="left"/>
            </w:pPr>
            <w:r>
              <w:rPr>
                <w:b w:val="0"/>
                <w:sz w:val="21"/>
              </w:rPr>
              <w:t>Non rappresenta una memoria costitutiva cronologica</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Storico lineare</w:t>
            </w:r>
          </w:p>
        </w:tc>
        <w:tc>
          <w:tcPr>
            <w:tcW w:type="dxa" w:w="3402"/>
            <w:vAlign w:val="center"/>
            <w:tcMar>
              <w:top w:w="90" w:type="dxa"/>
              <w:left w:w="90" w:type="dxa"/>
              <w:bottom w:w="90" w:type="dxa"/>
              <w:right w:w="90" w:type="dxa"/>
            </w:tcMar>
          </w:tcPr>
          <w:p>
            <w:pPr>
              <w:spacing w:before="20" w:after="20"/>
              <w:jc w:val="left"/>
            </w:pPr>
            <w:r>
              <w:rPr>
                <w:b w:val="0"/>
                <w:sz w:val="21"/>
              </w:rPr>
              <w:t>Successione di fasi con deformazioni e riferimento al getto</w:t>
            </w:r>
          </w:p>
        </w:tc>
        <w:tc>
          <w:tcPr>
            <w:tcW w:type="dxa" w:w="3855"/>
            <w:vAlign w:val="center"/>
            <w:tcMar>
              <w:top w:w="90" w:type="dxa"/>
              <w:left w:w="90" w:type="dxa"/>
              <w:bottom w:w="90" w:type="dxa"/>
              <w:right w:w="90" w:type="dxa"/>
            </w:tcMar>
          </w:tcPr>
          <w:p>
            <w:pPr>
              <w:spacing w:before="20" w:after="20"/>
              <w:jc w:val="left"/>
            </w:pPr>
            <w:r>
              <w:rPr>
                <w:b w:val="0"/>
                <w:sz w:val="21"/>
              </w:rPr>
              <w:t>φ o n del nuovo incremento non rilassa automaticamente tutto il passato</w:t>
            </w:r>
          </w:p>
        </w:tc>
      </w:tr>
      <w:tr>
        <w:trPr>
          <w:cantSplit/>
        </w:trPr>
        <w:tc>
          <w:tcPr>
            <w:tcW w:type="dxa" w:w="2381"/>
            <w:vAlign w:val="center"/>
            <w:tcMar>
              <w:top w:w="90" w:type="dxa"/>
              <w:left w:w="90" w:type="dxa"/>
              <w:bottom w:w="90" w:type="dxa"/>
              <w:right w:w="90" w:type="dxa"/>
            </w:tcMar>
          </w:tcPr>
          <w:p>
            <w:pPr>
              <w:spacing w:before="20" w:after="20"/>
              <w:jc w:val="left"/>
            </w:pPr>
            <w:r>
              <w:rPr>
                <w:b w:val="0"/>
                <w:sz w:val="21"/>
              </w:rPr>
              <w:t>Storico non lineare</w:t>
            </w:r>
          </w:p>
        </w:tc>
        <w:tc>
          <w:tcPr>
            <w:tcW w:type="dxa" w:w="3402"/>
            <w:vAlign w:val="center"/>
            <w:tcMar>
              <w:top w:w="90" w:type="dxa"/>
              <w:left w:w="90" w:type="dxa"/>
              <w:bottom w:w="90" w:type="dxa"/>
              <w:right w:w="90" w:type="dxa"/>
            </w:tcMar>
          </w:tcPr>
          <w:p>
            <w:pPr>
              <w:spacing w:before="20" w:after="20"/>
              <w:jc w:val="left"/>
            </w:pPr>
            <w:r>
              <w:rPr>
                <w:b w:val="0"/>
                <w:sz w:val="21"/>
              </w:rPr>
              <w:t>Evoluzione a fibre con plasticità dell'acciaio e scarico elastico</w:t>
            </w:r>
          </w:p>
        </w:tc>
        <w:tc>
          <w:tcPr>
            <w:tcW w:type="dxa" w:w="3855"/>
            <w:vAlign w:val="center"/>
            <w:tcMar>
              <w:top w:w="90" w:type="dxa"/>
              <w:left w:w="90" w:type="dxa"/>
              <w:bottom w:w="90" w:type="dxa"/>
              <w:right w:w="90" w:type="dxa"/>
            </w:tcMar>
          </w:tcPr>
          <w:p>
            <w:pPr>
              <w:spacing w:before="20" w:after="20"/>
              <w:jc w:val="left"/>
            </w:pPr>
            <w:r>
              <w:rPr>
                <w:b w:val="0"/>
                <w:sz w:val="21"/>
              </w:rPr>
              <w:t>Sezione lorda e caratteristiche istantanee; niente riduzione locale di classe 4</w:t>
            </w:r>
          </w:p>
        </w:tc>
      </w:tr>
    </w:tbl>
    <w:p>
      <w:pPr>
        <w:spacing w:after="0"/>
      </w:pPr>
    </w:p>
    <w:p>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pPr>
        <w:pStyle w:val="Titolo2"/>
        <w:keepNext/>
        <w:spacing w:after="140"/>
      </w:pPr>
      <w:r>
        <w:t>Costruire le fasi</w:t>
      </w:r>
    </w:p>
    <w:p>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pPr>
        <w:spacing w:after="140"/>
      </w:pPr>
      <w:r>
        <w:t>Ogni riga rappresenta un incremento, non necessariamente il totale della situazione. Inserire un totale in ciascuna riga può duplicare i carichi. Assegnare φ oppure n, controllando che il valore di uno derivi coerentemente dall'altro. Scegliere il punto di applicazione di N: baricentro lordo della fase, baricentro efficace aggiornato o riferimento comune. Il momento riportato al riferimento cambia con questa scelta.</w:t>
      </w:r>
    </w:p>
    <w:p>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pPr>
        <w:pStyle w:val="Titolo2"/>
        <w:keepNext/>
        <w:spacing w:after="140"/>
      </w:pPr>
      <w:r>
        <w:t>Leggere efficacia tensioni e controlli locali</w:t>
      </w:r>
    </w:p>
    <w:p>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pPr>
        <w:pStyle w:val="Titolo2"/>
        <w:keepNext/>
        <w:spacing w:after="140"/>
      </w:pPr>
      <w:r>
        <w:t>Curve di risposta</w:t>
      </w:r>
    </w:p>
    <w:p>
      <w:pPr>
        <w:spacing w:after="140"/>
      </w:pPr>
      <w:r>
        <w:t>La terza scheda permette curve M κ a N fissato oppure N ε a curvatura fissata. Si può partire da uno stato vergine oppure dalla storia di una fase ricostruita dal motore non lineare. Quando si parte da una fase caricata, il ramo di risposta conserva la memoria prevista dal modello e non riparte da zero tensioni.</w:t>
      </w:r>
    </w:p>
    <w:p>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pPr>
        <w:pStyle w:val="Titolo1"/>
        <w:keepNext/>
        <w:spacing w:after="140"/>
      </w:pPr>
      <w:r>
        <w:t>Bridge Design</w:t>
      </w:r>
    </w:p>
    <w:p>
      <w:pPr>
        <w:pStyle w:val="Titolo2"/>
        <w:keepNext/>
        <w:spacing w:after="140"/>
      </w:pPr>
      <w:r>
        <w:t>Scopo e struttura della finestra</w:t>
      </w:r>
    </w:p>
    <w:p>
      <w:pPr>
        <w:spacing w:after="140"/>
      </w:pPr>
      <w:r>
        <w:t>Bridge Design serve a esplorare rapidamente configurazioni di ponte e confrontarne geometria, quantità, costo, CO₂ e durata indicativa. Riprende il percorso del riferimento thebridgeeng.com/design, con grafica ANTHEA e un motore autonomo. Non replica il calcolo dettagliato AASHTO del sito e non produce una verifica normativa completa. Le formule implementate sono documentate nella guida teorica.</w:t>
      </w:r>
    </w:p>
    <w:p>
      <w:pPr>
        <w:spacing w:after="140"/>
      </w:pPr>
      <w:r>
        <w:t>La parte di input contiene quattro schede: Sito, Campate, Sezione e Pile. La vista alterna prospetto e sezione trasversale. Il riepilogo presenta costo, emissioni, altezza dell'impalcato e durata. Le tabelle inferiori consentono di leggere quantità, dettagli, confronto A/B, prezzi e ipotesi. Su finestre strette la vista passa sotto gli input: scorrere verso il basso per raggiungerla.</w:t>
      </w:r>
    </w:p>
    <w:p>
      <w:pPr>
        <w:keepNext/>
        <w:spacing w:after="140"/>
      </w:pPr>
      <w:r>
        <w:drawing>
          <wp:inline xmlns:a="http://schemas.openxmlformats.org/drawingml/2006/main" xmlns:pic="http://schemas.openxmlformats.org/drawingml/2006/picture">
            <wp:extent cx="6120000" cy="3677403"/>
            <wp:docPr id="1" name="Picture 1" descr="Finestra Bridge Design con impostazione ANTHEA"/>
            <wp:cNvGraphicFramePr>
              <a:graphicFrameLocks noChangeAspect="1"/>
            </wp:cNvGraphicFramePr>
            <a:graphic>
              <a:graphicData uri="http://schemas.openxmlformats.org/drawingml/2006/picture">
                <pic:pic>
                  <pic:nvPicPr>
                    <pic:cNvPr id="0" name="bridge_design_1600.png"/>
                    <pic:cNvPicPr/>
                  </pic:nvPicPr>
                  <pic:blipFill>
                    <a:blip r:embed="rId23"/>
                    <a:stretch>
                      <a:fillRect/>
                    </a:stretch>
                  </pic:blipFill>
                  <pic:spPr>
                    <a:xfrm>
                      <a:off x="0" y="0"/>
                      <a:ext cx="6120000" cy="3677403"/>
                    </a:xfrm>
                    <a:prstGeom prst="rect"/>
                  </pic:spPr>
                </pic:pic>
              </a:graphicData>
            </a:graphic>
          </wp:inline>
        </w:drawing>
      </w:r>
    </w:p>
    <w:p>
      <w:pPr>
        <w:pStyle w:val="Didascalia"/>
      </w:pPr>
      <w:r>
        <w:t>Finestra Bridge Design con impostazione ANTHEA</w:t>
      </w:r>
    </w:p>
    <w:p>
      <w:pPr>
        <w:pStyle w:val="Titolo2"/>
        <w:keepNext/>
        <w:spacing w:after="140"/>
      </w:pPr>
      <w:r>
        <w:t>Impostare il sito e le campate</w:t>
      </w:r>
    </w:p>
    <w:p>
      <w:pPr>
        <w:spacing w:after="140"/>
      </w:pPr>
      <w:r>
        <w:t>In Sito scegliere ostacolo, terreno convenzionale, lunghezza totale, quota sul terreno, larghezza dell'ostacolo e componenti della carreggiata. La larghezza del ponte deriva da corsie, banchine, spartitraffico e barriere. Il numero di corsie è complessivo, non il numero per direzione. La configurazione iniziale di quattro corsie da 3,65 m, due banchine da 1,50 m, spartitraffico da 1,60 m e due barriere da 0,50 m produce 20,20 m.</w:t>
      </w:r>
    </w:p>
    <w:p>
      <w:pPr>
        <w:spacing w:after="140"/>
      </w:pPr>
      <w:r>
        <w:t>In Campate assegnare il numero oppure lasciare l'automatismo, scegliere continuità e appoggi estremi. Con più di due campate continue il criterio iniziale accorcia le campate di estremità rispetto alle interne. Il motore tenta di tenere le pile fuori dall'ostacolo centrale; quando non riesce, lo segnala. Il disegno non costituisce verifica di franco idraulico, franco stradale o interferenza con un rilievo reale.</w:t>
      </w:r>
    </w:p>
    <w:p>
      <w:pPr>
        <w:pStyle w:val="Titolo2"/>
        <w:keepNext/>
        <w:spacing w:after="140"/>
      </w:pPr>
      <w:r>
        <w:t>Scegliere famiglia e dimensioni</w:t>
      </w:r>
    </w:p>
    <w:p>
      <w:pPr>
        <w:spacing w:after="140"/>
      </w:pPr>
      <w:r>
        <w:t>Sono disponibili soletta piena, travi a T in c.a., travi a I e U in c.a.p., cassone in c.a.p., cassone a conci ad altezza variabile, travi a I e cassoni acciaio cls. Selezionando la famiglia compaiono i parametri pertinenti. Un campo inattivo per una famiglia non deve essere interpretato come una dimensione comunque utilizzata.</w:t>
      </w:r>
    </w:p>
    <w:p>
      <w:pPr>
        <w:spacing w:after="140"/>
      </w:pPr>
      <w:r>
        <w:t>Per altezza, soletta, interassi e altre dimensioni indicate, zero mantiene la scelta automatica. Inserire un valore positivo blocca quella dimensione: se in seguito aumenta la luce, non viene automaticamente aumentata. Il pulsante Sezione automatica ripristina gli automatismi previsti, compresi quelli delle dimensioni principali di pile e fondazioni; controllare quindi anche la quarta scheda dopo averlo usato.</w:t>
      </w:r>
    </w:p>
    <w:p>
      <w:pPr>
        <w:spacing w:after="140"/>
      </w:pPr>
      <w:r>
        <w:t>La sezione disegnata è schematica e non in scala rigorosa. Serve a riconoscere la famiglia, il numero degli elementi e le proporzioni generali. I valori numerici e il dettaglio delle quantità sono il riferimento. Il cambio del paesaggio modifica il solo scenario grafico e non cambia i risultati.</w:t>
      </w:r>
    </w:p>
    <w:p>
      <w:pPr>
        <w:pStyle w:val="Titolo2"/>
        <w:keepNext/>
        <w:spacing w:after="140"/>
      </w:pPr>
      <w:r>
        <w:t>Pile fondazioni e materiali</w:t>
      </w:r>
    </w:p>
    <w:p>
      <w:pPr>
        <w:spacing w:after="140"/>
      </w:pPr>
      <w:r>
        <w:t>Scegliere telaio a colonne, colonna circolare, setto o testa a martello. Assegnare fondazione automatica, diretta o pali da 1,0 o 1,5 m. Lunghezza e numero di pali, dimensione della pila e lato della fondazione possono restare automatici oppure essere imposti. Il lato indicato per il plinto è longitudinale; la larghezza trasversale può aumentare per accogliere spalla, setto o telaio e viene riportata nel dettaglio.</w:t>
      </w:r>
    </w:p>
    <w:p>
      <w:pPr>
        <w:spacing w:after="140"/>
      </w:pPr>
      <w:r>
        <w:t>La classe di terreno attiva pressioni e resistenze convenzionali. È possibile sostituirle nelle Ipotesi, ma non vengono ricavate da una stratigrafia geotecnica del progetto. La scelta «Roccia» non sostituisce un'indagine né considera automaticamente fratturazione e ammasso. Se il rapporto assiale di fondazione è elevato, modificare la configurazione e passare successivamente a una verifica specifica.</w:t>
      </w:r>
    </w:p>
    <w:p>
      <w:pPr>
        <w:spacing w:after="140"/>
      </w:pPr>
      <w:r>
        <w:t>La resistenza del cls dell'impalcato interviene nella stima del modulo elastico. Quella delle sottostrutture permette di leggere il rapporto fra compressione media delle pile e fc. Nessuno dei due campi dimensiona automaticamente tutta l'armatura o verifica pressoflessione e duttilità. Le quantità di armatura sono ottenute da incidenze configurabili.</w:t>
      </w:r>
    </w:p>
    <w:p>
      <w:pPr>
        <w:pStyle w:val="Titolo2"/>
        <w:keepNext/>
        <w:spacing w:after="140"/>
      </w:pPr>
      <w:r>
        <w:t>Personalizzare il listino</w:t>
      </w:r>
    </w:p>
    <w:p>
      <w:pPr>
        <w:spacing w:after="140"/>
      </w:pPr>
      <w:r>
        <w:t>Aprire Prezzi e sostituire le voci in euro con il proprio listino. Sono distinti cls impalcato, cls sottostrutture, armatura, precompressione, carpenteria, cassoni metallici, casseforme, pali, appoggi, giunti, barriere e pavimentazione. I pali sono quotati al metro con calcestruzzo e perforazione inclusi, mentre l'armatura è conteggiata separatamente. Se il proprio prezzo comprende anche l'armatura, occorre separare le voci per evitare una duplicazione.</w:t>
      </w:r>
    </w:p>
    <w:p>
      <w:pPr>
        <w:spacing w:after="140"/>
      </w:pPr>
      <w:r>
        <w:t>Le Ipotesi contengono oneri di cantiere, imprevisti e intervallo di costo. Oneri e imprevisti vengono applicati in successione: 12% e 15% producono un moltiplicatore 1,12 × 1,15 = 1,288, non 1,27. Il valore è IVA esclusa. L'intervallo ±30% iniziale è un margine indicativo configurabile, non un intervallo statistico di confidenza.</w:t>
      </w:r>
    </w:p>
    <w:p>
      <w:pPr>
        <w:spacing w:after="140"/>
      </w:pPr>
      <w:r>
        <w:t>Modificare un prezzo cambia il costo, lasciando invariate geometria, azioni e CO₂. Modificare un'incidenza di armatura cambia quantità, costo ed emissioni. Questo è un controllo pratico utile per distinguere le due famiglie di input.</w:t>
      </w:r>
    </w:p>
    <w:p>
      <w:pPr>
        <w:pStyle w:val="Titolo2"/>
        <w:keepNext/>
        <w:spacing w:after="140"/>
      </w:pPr>
      <w:r>
        <w:t>CO₂ alternative e confronto A B</w:t>
      </w:r>
    </w:p>
    <w:p>
      <w:pPr>
        <w:spacing w:after="140"/>
      </w:pPr>
      <w:r>
        <w:t>I coefficienti ambientali sono editabili e inizialmente indicativi. La voce CO₂ comprende i materiali strutturali conteggiati e una maggiorazione per trasporti e cantiere. Non comprende un ciclo di vita completo né tutte le finiture. L'opzione cls a ridotta CO₂ riduce il fattore del calcestruzzo; acciaio riciclato agisce sul fattore della carpenteria. Non attribuisce automaticamente a tutte le armature lo stesso beneficio.</w:t>
      </w:r>
    </w:p>
    <w:p>
      <w:pPr>
        <w:spacing w:after="140"/>
      </w:pPr>
      <w:r>
        <w:t>«Fissa A» conserva una copia dell'alternativa corrente, inclusi prezzi e ipotesi. Modificare poi B e aprire il confronto: leggere differenze assolute e relative insieme alle configurazioni. Se si desidera confrontare soltanto due geometrie, mantenere lo stesso listino nei due stati. Se il listino cambia dopo aver fissato A, il confronto contiene anche quell'effetto.</w:t>
      </w:r>
    </w:p>
    <w:p>
      <w:pPr>
        <w:spacing w:after="140"/>
      </w:pPr>
      <w:r>
        <w:t>Le proposte di riduzione della CO₂ mostrano differenze ricalcolate per alcune modifiche semplici. Applicarle richiede comunque di controllare le nuove campate e gli avvisi. «Ponte casuale» è utile per esplorare il funzionamento, ma sostituisce la configurazione geometrica corrente: fissare A o salvare prima se si vuole conservarla. Annulla consente di tornare agli stati precedenti della sessione.</w:t>
      </w:r>
    </w:p>
    <w:p>
      <w:pPr>
        <w:pStyle w:val="Titolo2"/>
        <w:keepNext/>
        <w:spacing w:after="140"/>
      </w:pPr>
      <w:r>
        <w:t>Risultati ed esportazioni</w:t>
      </w:r>
    </w:p>
    <w:p>
      <w:pPr>
        <w:spacing w:after="140"/>
      </w:pPr>
      <w:r>
        <w:t>Nel dettaglio leggere carichi per metro dell'intero impalcato, momenti, freccia indicativa, reazioni e fondazioni. I momenti non sono quelli della singola trave e derivano da carico uniforme su tutte le campate. Non comprendono un inviluppo di veicoli in movimento. La freccia usa rigidezza lorda e non include tutte le correzioni di esercizio di un ponte reale.</w:t>
      </w:r>
    </w:p>
    <w:p>
      <w:pPr>
        <w:spacing w:after="140"/>
      </w:pPr>
      <w:r>
        <w:t>Il CSV contiene quantità e prezzi; il PNG conserva la vista; il comando di stampa produce una presentazione della scheda. Il report Word raccoglie configurazione, viste, quantità, ipotesi e risultati. Salva conserva il foglio riapribile con il confronto A/B. Per poter cambiare prezzi in seguito conservare l'archivio, non soltanto il report Word.</w:t>
      </w:r>
    </w:p>
    <w:p>
      <w:pPr>
        <w:pStyle w:val="Titolo1"/>
        <w:keepNext/>
        <w:spacing w:after="140"/>
      </w:pPr>
      <w:r>
        <w:t>Salvataggio e report</w:t>
      </w:r>
    </w:p>
    <w:p>
      <w:pPr>
        <w:pStyle w:val="Titolo2"/>
        <w:keepNext/>
        <w:spacing w:after="140"/>
      </w:pPr>
      <w:r>
        <w:t>Conservare dati modificabili</w:t>
      </w:r>
    </w:p>
    <w:p>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pPr>
        <w:pStyle w:val="Titolo2"/>
        <w:keepNext/>
        <w:spacing w:after="140"/>
      </w:pPr>
      <w:r>
        <w:t>Report del singolo foglio e del progetto</w:t>
      </w:r>
    </w:p>
    <w:p>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pPr>
        <w:pStyle w:val="Titolo1"/>
        <w:keepNext/>
        <w:spacing w:after="140"/>
      </w:pPr>
      <w:r>
        <w:t>Percorso completo per un primo progetto</w:t>
      </w:r>
    </w:p>
    <w:p>
      <w:pPr>
        <w:spacing w:after="140"/>
        <w:ind w:left="283" w:hanging="283"/>
      </w:pPr>
      <w:r>
        <w:t>1. Avviare ANTHEA, creare un progetto e assegnargli un nome riconoscibile. Salvare subito l'archivio in una cartella di commessa.</w:t>
      </w:r>
    </w:p>
    <w:p>
      <w:pPr>
        <w:spacing w:after="140"/>
        <w:ind w:left="283" w:hanging="283"/>
      </w:pPr>
      <w:r>
        <w:t>2. Definire i materiali comuni e organizzare i rami prima di moltiplicare i fogli. Controllare il significato della condivisione ai livelli scelti.</w:t>
      </w:r>
    </w:p>
    <w:p>
      <w:pPr>
        <w:spacing w:after="140"/>
        <w:ind w:left="283" w:hanging="283"/>
      </w:pPr>
      <w:r>
        <w:t>3. Per un ponte preliminare aprire Bridge Design, impostare sito, larghezza e famiglia, quindi sostituire il listino. Fissare A e costruire una seconda configurazione.</w:t>
      </w:r>
    </w:p>
    <w:p>
      <w:pPr>
        <w:spacing w:after="140"/>
        <w:ind w:left="283" w:hanging="283"/>
      </w:pPr>
      <w:r>
        <w:t>4. Leggere gli avvisi, le campate effettive e il dettaglio delle quantità. Salvare la soluzione prescelta con una nota che descriva le ipotesi ancora da consolidare.</w:t>
      </w:r>
    </w:p>
    <w:p>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pPr>
        <w:spacing w:after="140"/>
        <w:ind w:left="283" w:hanging="283"/>
      </w:pPr>
      <w:r>
        <w:t>6. Esaminare risultati, convergenza e verifiche mancanti. Fare almeno un controllo manuale di unità ed equilibrio per ciascun tipo di modello.</w:t>
      </w:r>
    </w:p>
    <w:p>
      <w:pPr>
        <w:spacing w:after="140"/>
        <w:ind w:left="283" w:hanging="283"/>
      </w:pPr>
      <w:r>
        <w:t>7. Risolvere i conflitti dei dati comuni, creare una revisione e generare il report del ramo o del progetto. Conservare insieme archivio, report e identificazione della versione.</w:t>
      </w:r>
    </w:p>
    <w:p>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pPr>
        <w:pStyle w:val="Titolo1"/>
        <w:keepNext/>
        <w:spacing w:after="140"/>
      </w:pPr>
      <w:r>
        <w:t>Problemi frequenti e controlli finali</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005"/>
        <w:gridCol w:w="6633"/>
      </w:tblGrid>
      <w:tr>
        <w:trPr>
          <w:cantSplit/>
          <w:tblHeader/>
        </w:trPr>
        <w:tc>
          <w:tcPr>
            <w:tcW w:type="dxa" w:w="3005"/>
            <w:vAlign w:val="center"/>
            <w:tcMar>
              <w:top w:w="90" w:type="dxa"/>
              <w:left w:w="90" w:type="dxa"/>
              <w:bottom w:w="90" w:type="dxa"/>
              <w:right w:w="90" w:type="dxa"/>
            </w:tcMar>
            <w:shd w:fill="E7E6E6"/>
          </w:tcPr>
          <w:p>
            <w:pPr>
              <w:spacing w:before="20" w:after="20"/>
              <w:jc w:val="left"/>
            </w:pPr>
            <w:r>
              <w:rPr>
                <w:b/>
                <w:sz w:val="21"/>
              </w:rPr>
              <w:t>Situazione</w:t>
            </w:r>
          </w:p>
        </w:tc>
        <w:tc>
          <w:tcPr>
            <w:tcW w:type="dxa" w:w="6633"/>
            <w:vAlign w:val="center"/>
            <w:tcMar>
              <w:top w:w="90" w:type="dxa"/>
              <w:left w:w="90" w:type="dxa"/>
              <w:bottom w:w="90" w:type="dxa"/>
              <w:right w:w="90" w:type="dxa"/>
            </w:tcMar>
            <w:shd w:fill="E7E6E6"/>
          </w:tcPr>
          <w:p>
            <w:pPr>
              <w:spacing w:before="20" w:after="20"/>
              <w:jc w:val="left"/>
            </w:pPr>
            <w:r>
              <w:rPr>
                <w:b/>
                <w:sz w:val="21"/>
              </w:rPr>
              <w:t>Interpretazione e intervento</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Risultati assenti dopo una modifica</w:t>
            </w:r>
          </w:p>
        </w:tc>
        <w:tc>
          <w:tcPr>
            <w:tcW w:type="dxa" w:w="6633"/>
            <w:vAlign w:val="center"/>
            <w:tcMar>
              <w:top w:w="90" w:type="dxa"/>
              <w:left w:w="90" w:type="dxa"/>
              <w:bottom w:w="90" w:type="dxa"/>
              <w:right w:w="90" w:type="dxa"/>
            </w:tcMar>
          </w:tcPr>
          <w:p>
            <w:pPr>
              <w:spacing w:before="20" w:after="20"/>
              <w:jc w:val="left"/>
            </w:pPr>
            <w:r>
              <w:rPr>
                <w:b w:val="0"/>
                <w:sz w:val="21"/>
              </w:rPr>
              <w:t>Completare il campo segnalato e verificare intervalli e selezioni obbligatorie</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Risultati marcati DA AGGIORNARE</w:t>
            </w:r>
          </w:p>
        </w:tc>
        <w:tc>
          <w:tcPr>
            <w:tcW w:type="dxa" w:w="6633"/>
            <w:vAlign w:val="center"/>
            <w:tcMar>
              <w:top w:w="90" w:type="dxa"/>
              <w:left w:w="90" w:type="dxa"/>
              <w:bottom w:w="90" w:type="dxa"/>
              <w:right w:w="90" w:type="dxa"/>
            </w:tcMar>
          </w:tcPr>
          <w:p>
            <w:pPr>
              <w:spacing w:before="20" w:after="20"/>
              <w:jc w:val="left"/>
            </w:pPr>
            <w:r>
              <w:rPr>
                <w:b w:val="0"/>
                <w:sz w:val="21"/>
              </w:rPr>
              <w:t>Attendere o avviare il ricalcolo previsto; non riutilizzare il valore precedente</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Valori differiscono di 1000</w:t>
            </w:r>
          </w:p>
        </w:tc>
        <w:tc>
          <w:tcPr>
            <w:tcW w:type="dxa" w:w="6633"/>
            <w:vAlign w:val="center"/>
            <w:tcMar>
              <w:top w:w="90" w:type="dxa"/>
              <w:left w:w="90" w:type="dxa"/>
              <w:bottom w:w="90" w:type="dxa"/>
              <w:right w:w="90" w:type="dxa"/>
            </w:tcMar>
          </w:tcPr>
          <w:p>
            <w:pPr>
              <w:spacing w:before="20" w:after="20"/>
              <w:jc w:val="left"/>
            </w:pPr>
            <w:r>
              <w:rPr>
                <w:b w:val="0"/>
                <w:sz w:val="21"/>
              </w:rPr>
              <w:t>Controllare MPa e kPa, N e kN, mm e m, momenti in Nmm e kNm</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Modifica locale genera un conflitto</w:t>
            </w:r>
          </w:p>
        </w:tc>
        <w:tc>
          <w:tcPr>
            <w:tcW w:type="dxa" w:w="6633"/>
            <w:vAlign w:val="center"/>
            <w:tcMar>
              <w:top w:w="90" w:type="dxa"/>
              <w:left w:w="90" w:type="dxa"/>
              <w:bottom w:w="90" w:type="dxa"/>
              <w:right w:w="90" w:type="dxa"/>
            </w:tcMar>
          </w:tcPr>
          <w:p>
            <w:pPr>
              <w:spacing w:before="20" w:after="20"/>
              <w:jc w:val="left"/>
            </w:pPr>
            <w:r>
              <w:rPr>
                <w:b w:val="0"/>
                <w:sz w:val="21"/>
              </w:rPr>
              <w:t>Individuare il riferimento superiore che governa quella proprietà</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Un parametro non cambia il risultato atteso</w:t>
            </w:r>
          </w:p>
        </w:tc>
        <w:tc>
          <w:tcPr>
            <w:tcW w:type="dxa" w:w="6633"/>
            <w:vAlign w:val="center"/>
            <w:tcMar>
              <w:top w:w="90" w:type="dxa"/>
              <w:left w:w="90" w:type="dxa"/>
              <w:bottom w:w="90" w:type="dxa"/>
              <w:right w:w="90" w:type="dxa"/>
            </w:tcMar>
          </w:tcPr>
          <w:p>
            <w:pPr>
              <w:spacing w:before="20" w:after="20"/>
              <w:jc w:val="left"/>
            </w:pPr>
            <w:r>
              <w:rPr>
                <w:b w:val="0"/>
                <w:sz w:val="21"/>
              </w:rPr>
              <w:t>Controllare famiglia, metodo attivo, automatismi e campo di applicazione</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File riaperto senza alcuni comandi</w:t>
            </w:r>
          </w:p>
        </w:tc>
        <w:tc>
          <w:tcPr>
            <w:tcW w:type="dxa" w:w="6633"/>
            <w:vAlign w:val="center"/>
            <w:tcMar>
              <w:top w:w="90" w:type="dxa"/>
              <w:left w:w="90" w:type="dxa"/>
              <w:bottom w:w="90" w:type="dxa"/>
              <w:right w:w="90" w:type="dxa"/>
            </w:tcMar>
          </w:tcPr>
          <w:p>
            <w:pPr>
              <w:spacing w:before="20" w:after="20"/>
              <w:jc w:val="left"/>
            </w:pPr>
            <w:r>
              <w:rPr>
                <w:b w:val="0"/>
                <w:sz w:val="21"/>
              </w:rPr>
              <w:t>Controllare versione dell'eseguibile e compatibilità dell'archivio</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Fessurazione o verifica locale non disponibile</w:t>
            </w:r>
          </w:p>
        </w:tc>
        <w:tc>
          <w:tcPr>
            <w:tcW w:type="dxa" w:w="6633"/>
            <w:vAlign w:val="center"/>
            <w:tcMar>
              <w:top w:w="90" w:type="dxa"/>
              <w:left w:w="90" w:type="dxa"/>
              <w:bottom w:w="90" w:type="dxa"/>
              <w:right w:w="90" w:type="dxa"/>
            </w:tcMar>
          </w:tcPr>
          <w:p>
            <w:pPr>
              <w:spacing w:before="20" w:after="20"/>
              <w:jc w:val="left"/>
            </w:pPr>
            <w:r>
              <w:rPr>
                <w:b w:val="0"/>
                <w:sz w:val="21"/>
              </w:rPr>
              <w:t>Leggere il motivo specifico; la soluzione tensionale non garantisce la disponibilità di ogni controllo</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Ponte con costo inatteso</w:t>
            </w:r>
          </w:p>
        </w:tc>
        <w:tc>
          <w:tcPr>
            <w:tcW w:type="dxa" w:w="6633"/>
            <w:vAlign w:val="center"/>
            <w:tcMar>
              <w:top w:w="90" w:type="dxa"/>
              <w:left w:w="90" w:type="dxa"/>
              <w:bottom w:w="90" w:type="dxa"/>
              <w:right w:w="90" w:type="dxa"/>
            </w:tcMar>
          </w:tcPr>
          <w:p>
            <w:pPr>
              <w:spacing w:before="20" w:after="20"/>
              <w:jc w:val="left"/>
            </w:pPr>
            <w:r>
              <w:rPr>
                <w:b w:val="0"/>
                <w:sz w:val="21"/>
              </w:rPr>
              <w:t>Controllare larghezza totale, numero di campate, fondazioni, voci del listino e maggiorazioni</w:t>
            </w:r>
          </w:p>
        </w:tc>
      </w:tr>
      <w:tr>
        <w:trPr>
          <w:cantSplit/>
        </w:trPr>
        <w:tc>
          <w:tcPr>
            <w:tcW w:type="dxa" w:w="3005"/>
            <w:vAlign w:val="center"/>
            <w:tcMar>
              <w:top w:w="90" w:type="dxa"/>
              <w:left w:w="90" w:type="dxa"/>
              <w:bottom w:w="90" w:type="dxa"/>
              <w:right w:w="90" w:type="dxa"/>
            </w:tcMar>
          </w:tcPr>
          <w:p>
            <w:pPr>
              <w:spacing w:before="20" w:after="20"/>
              <w:jc w:val="left"/>
            </w:pPr>
            <w:r>
              <w:rPr>
                <w:b w:val="0"/>
                <w:sz w:val="21"/>
              </w:rPr>
              <w:t>Curva non lineare interrotta</w:t>
            </w:r>
          </w:p>
        </w:tc>
        <w:tc>
          <w:tcPr>
            <w:tcW w:type="dxa" w:w="6633"/>
            <w:vAlign w:val="center"/>
            <w:tcMar>
              <w:top w:w="90" w:type="dxa"/>
              <w:left w:w="90" w:type="dxa"/>
              <w:bottom w:w="90" w:type="dxa"/>
              <w:right w:w="90" w:type="dxa"/>
            </w:tcMar>
          </w:tcPr>
          <w:p>
            <w:pPr>
              <w:spacing w:before="20" w:after="20"/>
              <w:jc w:val="left"/>
            </w:pPr>
            <w:r>
              <w:rPr>
                <w:b w:val="0"/>
                <w:sz w:val="21"/>
              </w:rPr>
              <w:t>Controllare convergenza, incremento, stato iniziale e limite del materiale</w:t>
            </w:r>
          </w:p>
        </w:tc>
      </w:tr>
    </w:tbl>
    <w:p>
      <w:pPr>
        <w:spacing w:after="0"/>
      </w:pPr>
    </w:p>
    <w:p>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pPr>
        <w:pStyle w:val="Titolo2"/>
        <w:keepNext/>
        <w:spacing w:after="140"/>
      </w:pPr>
      <w:r>
        <w:t>Riferimenti per approfondire</w:t>
      </w:r>
    </w:p>
    <w:p>
      <w:pPr>
        <w:spacing w:after="140"/>
      </w:pPr>
      <w:r>
        <w:t>La Guida teorica di ANTHEA descrive i calcoli della stessa edizione. La documentazione tecnica del repository in supporto/docs contiene approfondimenti su sezioni CA, metodi della sezione composta, taglio e connessione, pali orizzontali, progetti e revisioni. Il file bridge-design.md descrive specificamente il nuovo motore di predimensionamento e le prove eseguite. I riferimenti normativi vanno letti nelle edizioni identificate dal modulo, insieme alle relative condizioni di applicabilità.</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ANTHEA_Guida_pratica_ITEC_Rev02.docx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ANTHEA_Guida_pratica_ITEC_Rev02.docx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2</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3</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ANTHEA_Guida_pratica_ITEC_Rev02.docx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Rev02; Contenuti 2026-09-26</cp:keywords>
  <dc:description/>
  <cp:lastModifiedBy>ANTHEA</cp:lastModifiedBy>
  <cp:revision>2</cp:revision>
  <cp:lastPrinted>2023-02-17T15:30:00Z</cp:lastPrinted>
  <dcterms:created xsi:type="dcterms:W3CDTF">2024-01-22T16:51:00Z</dcterms:created>
  <dcterms:modified xsi:type="dcterms:W3CDTF">2026-03-05T14:41:00Z</dcterms:modified>
</cp:coreProperties>
</file>