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Hilgard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censored-regression."/>
      <w:bookmarkEnd w:id="21"/>
      <w:r>
        <w:t xml:space="preserve">Censored regression.</w:t>
      </w:r>
    </w:p>
    <w:p>
      <w:pPr>
        <w:pStyle w:val="FirstParagraph"/>
      </w:pPr>
      <w:r>
        <w:t xml:space="preserve">To attempt to ameliorate the potential ceiling effect, a censored regression model was fit with the ‘censReg’ package for R (Henningsen, 2013). This fits a censored-regression Tobit model and attempts to model values that exceed the maximum of the scale.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(hilgard)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     v purrr   0.2.4     </w:t>
      </w:r>
      <w:r>
        <w:br w:type="textWrapping"/>
      </w:r>
      <w:r>
        <w:rPr>
          <w:rStyle w:val="VerbatimChar"/>
        </w:rPr>
        <w:t xml:space="preserve">## v tibble  1.4.2          v dplyr   0.7.4.9002</w:t>
      </w:r>
      <w:r>
        <w:br w:type="textWrapping"/>
      </w:r>
      <w:r>
        <w:rPr>
          <w:rStyle w:val="VerbatimChar"/>
        </w:rPr>
        <w:t xml:space="preserve">## v tidyr   0.7.2          v stringr 1.2.0     </w:t>
      </w:r>
      <w:r>
        <w:br w:type="textWrapping"/>
      </w:r>
      <w:r>
        <w:rPr>
          <w:rStyle w:val="VerbatimChar"/>
        </w:rPr>
        <w:t xml:space="preserve">## v readr   1.1.1     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summary(censModel1)</w:t>
      </w:r>
      <w:r>
        <w:br w:type="textWrapping"/>
      </w:r>
      <w:r>
        <w:rPr>
          <w:rStyle w:val="CommentTok"/>
        </w:rPr>
        <w:t xml:space="preserve"># summary(censModel1.1)</w:t>
      </w:r>
      <w:r>
        <w:br w:type="textWrapping"/>
      </w:r>
      <w:r>
        <w:rPr>
          <w:rStyle w:val="CommentTok"/>
        </w:rPr>
        <w:t xml:space="preserve"># summary(censModel2)</w:t>
      </w:r>
      <w:r>
        <w:br w:type="textWrapping"/>
      </w:r>
      <w:r>
        <w:rPr>
          <w:rStyle w:val="CommentTok"/>
        </w:rPr>
        <w:t xml:space="preserve"># summary(censModel2.1)</w:t>
      </w:r>
    </w:p>
    <w:p>
      <w:pPr>
        <w:pStyle w:val="FirstParagraph"/>
      </w:pPr>
      <w:r>
        <w:t xml:space="preserve">As before, the analysis found no significant effects of violence, difficulty, 2D4D, or any higher-order interaction. A significant effect of irritation with the partner's feedback was observed, but applying this as a covariate did not affect the primary results.</w:t>
      </w:r>
    </w:p>
    <w:p>
      <w:pPr>
        <w:pStyle w:val="Heading3"/>
      </w:pPr>
      <w:bookmarkStart w:id="22" w:name="logistic-regression."/>
      <w:bookmarkEnd w:id="22"/>
      <w:r>
        <w:t xml:space="preserve">Logistic regression.</w:t>
      </w:r>
    </w:p>
    <w:p>
      <w:pPr>
        <w:pStyle w:val="FirstParagraph"/>
      </w:pPr>
      <w:r>
        <w:t xml:space="preserve">Another possibility is that participants completed the coldpressor assignment in one of two ways: either they followed instructions and randomly assigned the other participant to a value between 1 and 9, or they decided to aggress and assign the other participant the maximum value. To model this possibility, I treated the response variable as a dichotomous outcome. Participants assigning values 1-8 were treated as one category (nonaggressive response) and participants assigning value 9 were treated as the other (aggressive response). Logistic regression was performed to test whether the odds of aggressing were influenced by the experimental assignment.</w:t>
      </w:r>
    </w:p>
    <w:p>
      <w:pPr>
        <w:pStyle w:val="BodyText"/>
      </w:pPr>
      <w:r>
        <w:t xml:space="preserve">We conducted a 2 Violence × 2 Difficulty ANOVA with a logistic link function. Violence did not appear to influence aggression,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0.21,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.836,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1.03 [0.79, 1.34]. Difficulty also had a minimal effect on aggression,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1.55,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.121,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1.23 [0.95, 1.61]. Application of composite irritation as a covariate to these models revealed an effect of composite irritation,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4.17,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2.11 [1.5, 3.03], but did not increase the estimated effects of violence, difficulty, or their interaction.</w:t>
      </w:r>
    </w:p>
    <w:p>
      <w:pPr>
        <w:pStyle w:val="BodyText"/>
      </w:pPr>
      <w:r>
        <w:t xml:space="preserve">Main effects of 2D:4D on aggression were again negligible. Left 2D:4D did not predict aggression,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-0.38,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.703,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0.95 [0.72, 1.24], nor did right 2D:4D,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0.4,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.689,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1.06 [0.81, 1.39]. Application of composite irritation as a covariate did not influence the estimated effect. Higher-order interactions of 2D:4D with factors of Violence or Difficulty were not supported by the results (all |t| &lt; 1.53).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eea5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</dc:title>
  <dc:creator>Joe Hilgard</dc:creator>
  <dcterms:created xsi:type="dcterms:W3CDTF">2018-06-06T03:13:40Z</dcterms:created>
  <dcterms:modified xsi:type="dcterms:W3CDTF">2018-06-06T03:13:40Z</dcterms:modified>
</cp:coreProperties>
</file>