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sz w:val="22"/>
          <w:szCs w:val="22"/>
          <w:highlight w:val="re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117079</wp:posOffset>
                </wp:positionH>
                <wp:positionV relativeFrom="paragraph">
                  <wp:posOffset>132</wp:posOffset>
                </wp:positionV>
                <wp:extent cx="6116320" cy="3094355"/>
                <wp:effectExtent b="0" l="0" r="0" t="0"/>
                <wp:wrapSquare wrapText="bothSides" distB="0" distT="0" distL="114300" distR="114300"/>
                <wp:docPr id="18069950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7825" y="2232800"/>
                          <a:ext cx="6116320" cy="3094355"/>
                          <a:chOff x="2287825" y="2232800"/>
                          <a:chExt cx="6116350" cy="3094400"/>
                        </a:xfrm>
                      </wpg:grpSpPr>
                      <wpg:grpSp>
                        <wpg:cNvGrpSpPr/>
                        <wpg:grpSpPr>
                          <a:xfrm>
                            <a:off x="2287840" y="2232823"/>
                            <a:ext cx="6116320" cy="3094355"/>
                            <a:chOff x="0" y="0"/>
                            <a:chExt cx="6116320" cy="30943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16300" cy="309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Interfaz de usuario gráfica, Sitio web&#10;&#10;El contenido generado por IA puede ser incorrecto."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116320" cy="3094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Una sala de estar con piso de madera&#10;&#10;El contenido generado por IA puede ser incorrecto."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09026" y="638355"/>
                              <a:ext cx="2623185" cy="1449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117079</wp:posOffset>
                </wp:positionH>
                <wp:positionV relativeFrom="paragraph">
                  <wp:posOffset>132</wp:posOffset>
                </wp:positionV>
                <wp:extent cx="6116320" cy="3094355"/>
                <wp:effectExtent b="0" l="0" r="0" t="0"/>
                <wp:wrapSquare wrapText="bothSides" distB="0" distT="0" distL="114300" distR="114300"/>
                <wp:docPr id="18069950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6320" cy="3094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70c0"/>
          <w:sz w:val="22"/>
          <w:szCs w:val="22"/>
          <w:rtl w:val="0"/>
        </w:rPr>
        <w:t xml:space="preserve">Infraestructura confortable.</w:t>
      </w:r>
    </w:p>
    <w:p w:rsidR="00000000" w:rsidDel="00000000" w:rsidP="00000000" w:rsidRDefault="00000000" w:rsidRPr="00000000" w14:paraId="00000003">
      <w:pPr>
        <w:jc w:val="right"/>
        <w:rPr>
          <w:rFonts w:ascii="Calibri" w:cs="Calibri" w:eastAsia="Calibri" w:hAnsi="Calibri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70c0"/>
          <w:sz w:val="22"/>
          <w:szCs w:val="22"/>
          <w:rtl w:val="0"/>
        </w:rPr>
        <w:t xml:space="preserve">Equipamiento de última generación para su seguridad.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123825</wp:posOffset>
            </wp:positionV>
            <wp:extent cx="6116320" cy="3027680"/>
            <wp:effectExtent b="0" l="0" r="0" t="0"/>
            <wp:wrapSquare wrapText="bothSides" distB="0" distT="0" distL="114300" distR="114300"/>
            <wp:docPr descr="Interfaz de usuario gráfica, Aplicación, Sitio web&#10;&#10;El contenido generado por IA puede ser incorrecto." id="1806995081" name="image4.png"/>
            <a:graphic>
              <a:graphicData uri="http://schemas.openxmlformats.org/drawingml/2006/picture">
                <pic:pic>
                  <pic:nvPicPr>
                    <pic:cNvPr descr="Interfaz de usuario gráfica, Aplicación, Sitio web&#10;&#10;El contenido generado por IA puede ser incorrecto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2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Calibri" w:cs="Calibri" w:eastAsia="Calibri" w:hAnsi="Calibri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1762125</wp:posOffset>
            </wp:positionV>
            <wp:extent cx="2475548" cy="1526973"/>
            <wp:effectExtent b="0" l="0" r="0" t="0"/>
            <wp:wrapNone/>
            <wp:docPr id="180699507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548" cy="1526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1420143</wp:posOffset>
            </wp:positionV>
            <wp:extent cx="6116320" cy="2441575"/>
            <wp:effectExtent b="0" l="0" r="0" t="0"/>
            <wp:wrapSquare wrapText="bothSides" distB="0" distT="0" distL="114300" distR="114300"/>
            <wp:docPr descr="Interfaz de usuario gráfica&#10;&#10;El contenido generado por IA puede ser incorrecto." id="1806995078" name="image2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4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Calibri" w:cs="Calibri" w:eastAsia="Calibri" w:hAnsi="Calibri"/>
          <w:i w:val="1"/>
          <w:i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70c0"/>
          <w:sz w:val="22"/>
          <w:szCs w:val="22"/>
          <w:rtl w:val="0"/>
        </w:rPr>
        <w:t xml:space="preserve">Fundada en 1955 como Sanatorio Argentino por el Dr. Orlando Horacio Giunta.</w:t>
      </w:r>
    </w:p>
    <w:p w:rsidR="00000000" w:rsidDel="00000000" w:rsidP="00000000" w:rsidRDefault="00000000" w:rsidRPr="00000000" w14:paraId="0000001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Calibri" w:cs="Calibri" w:eastAsia="Calibri" w:hAnsi="Calibri"/>
          <w:i w:val="1"/>
          <w:i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70c0"/>
          <w:sz w:val="22"/>
          <w:szCs w:val="22"/>
          <w:rtl w:val="0"/>
        </w:rPr>
        <w:t xml:space="preserve">Desde sus inicios, el Centro Giunta ha sido un faro de salud en la región. A lo largo de las décadas, hemos transformado nuestra práctica para liderar el cambio hacia una medicina más eficiente y humana. Nuestra historia está marcada por la dedicación y el compromiso inquebrantable con cada paciente que cruza nuestras puertas.</w:t>
      </w:r>
    </w:p>
    <w:p w:rsidR="00000000" w:rsidDel="00000000" w:rsidP="00000000" w:rsidRDefault="00000000" w:rsidRPr="00000000" w14:paraId="0000001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Calibri" w:cs="Calibri" w:eastAsia="Calibri" w:hAnsi="Calibri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70c0"/>
          <w:sz w:val="22"/>
          <w:szCs w:val="22"/>
          <w:rtl w:val="0"/>
        </w:rPr>
        <w:t xml:space="preserve">Desde el año 2011, bajo el liderazgo del Dr. Raúl Horacio Giunta, nos reestructuramos como un Centro de Especialidades Quirúrgicas Ambulatorias, incorporando tecnología de punta y manteniendo el precepto de ofrecer calidad y excelencia médica por más de medio siglo, adaptándonos a los tiempos modernos con la misma pasión del primer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746760</wp:posOffset>
            </wp:positionH>
            <wp:positionV relativeFrom="paragraph">
              <wp:posOffset>15240</wp:posOffset>
            </wp:positionV>
            <wp:extent cx="4495800" cy="4337103"/>
            <wp:effectExtent b="0" l="0" r="0" t="0"/>
            <wp:wrapSquare wrapText="bothSides" distB="0" distT="0" distL="114300" distR="114300"/>
            <wp:docPr descr="Interfaz de usuario gráfica, Aplicación, Teams&#10;&#10;El contenido generado por IA puede ser incorrecto." id="1806995082" name="image1.png"/>
            <a:graphic>
              <a:graphicData uri="http://schemas.openxmlformats.org/drawingml/2006/picture">
                <pic:pic>
                  <pic:nvPicPr>
                    <pic:cNvPr descr="Interfaz de usuario gráfica, Aplicación, Teams&#10;&#10;El contenido generado por IA puede ser incorrecto.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7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Especialidades: (más información)</w:t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U.C.M.A. Unidad de Cirugía Mini-invasiva Ambulatoria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 de paredes abdominales.</w:t>
      </w:r>
    </w:p>
    <w:p w:rsidR="00000000" w:rsidDel="00000000" w:rsidP="00000000" w:rsidRDefault="00000000" w:rsidRPr="00000000" w14:paraId="00000039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 plástica y reparadora.</w:t>
      </w:r>
    </w:p>
    <w:p w:rsidR="00000000" w:rsidDel="00000000" w:rsidP="00000000" w:rsidRDefault="00000000" w:rsidRPr="00000000" w14:paraId="0000003A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 oncodermatológica y dermatológica.</w:t>
      </w:r>
    </w:p>
    <w:p w:rsidR="00000000" w:rsidDel="00000000" w:rsidP="00000000" w:rsidRDefault="00000000" w:rsidRPr="00000000" w14:paraId="0000003B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 dermocosmética.</w:t>
      </w:r>
    </w:p>
    <w:p w:rsidR="00000000" w:rsidDel="00000000" w:rsidP="00000000" w:rsidRDefault="00000000" w:rsidRPr="00000000" w14:paraId="0000003C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Unidad de Cirugía Dermatológica Ambulatoria</w:t>
      </w:r>
    </w:p>
    <w:p w:rsidR="00000000" w:rsidDel="00000000" w:rsidP="00000000" w:rsidRDefault="00000000" w:rsidRPr="00000000" w14:paraId="0000003E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Cirugías oncológicas de tumores de piel.</w:t>
      </w:r>
    </w:p>
    <w:p w:rsidR="00000000" w:rsidDel="00000000" w:rsidP="00000000" w:rsidRDefault="00000000" w:rsidRPr="00000000" w14:paraId="0000003F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Microcirugías dermocosméticas.</w:t>
      </w:r>
    </w:p>
    <w:p w:rsidR="00000000" w:rsidDel="00000000" w:rsidP="00000000" w:rsidRDefault="00000000" w:rsidRPr="00000000" w14:paraId="00000040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Tratamiento de las lesiones de piel con radio termólisis pulsada</w:t>
      </w:r>
    </w:p>
    <w:p w:rsidR="00000000" w:rsidDel="00000000" w:rsidP="00000000" w:rsidRDefault="00000000" w:rsidRPr="00000000" w14:paraId="00000041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Tratamientos cosméticos con láser picosegundos.</w:t>
      </w:r>
    </w:p>
    <w:p w:rsidR="00000000" w:rsidDel="00000000" w:rsidP="00000000" w:rsidRDefault="00000000" w:rsidRPr="00000000" w14:paraId="00000042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Tratamientos cosméticos con ozono terapia.</w:t>
      </w:r>
    </w:p>
    <w:p w:rsidR="00000000" w:rsidDel="00000000" w:rsidP="00000000" w:rsidRDefault="00000000" w:rsidRPr="00000000" w14:paraId="00000043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Tratamientos cosméticos con Plasma-pen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Unidad de Diagnóstico Dermatológico</w:t>
      </w:r>
    </w:p>
    <w:p w:rsidR="00000000" w:rsidDel="00000000" w:rsidP="00000000" w:rsidRDefault="00000000" w:rsidRPr="00000000" w14:paraId="00000047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Mapeo Corporal Total.</w:t>
      </w:r>
    </w:p>
    <w:p w:rsidR="00000000" w:rsidDel="00000000" w:rsidP="00000000" w:rsidRDefault="00000000" w:rsidRPr="00000000" w14:paraId="00000048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Dermatoscopía Digital Computarizada.</w:t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Unidad de Ecodiagnóstico e Intervencionismo</w:t>
      </w:r>
    </w:p>
    <w:p w:rsidR="00000000" w:rsidDel="00000000" w:rsidP="00000000" w:rsidRDefault="00000000" w:rsidRPr="00000000" w14:paraId="0000004C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Ecografías generales 2D y 3D.</w:t>
      </w:r>
    </w:p>
    <w:p w:rsidR="00000000" w:rsidDel="00000000" w:rsidP="00000000" w:rsidRDefault="00000000" w:rsidRPr="00000000" w14:paraId="0000004D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Ecografías endocavitarias.</w:t>
      </w:r>
    </w:p>
    <w:p w:rsidR="00000000" w:rsidDel="00000000" w:rsidP="00000000" w:rsidRDefault="00000000" w:rsidRPr="00000000" w14:paraId="0000004E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Ecografías musculoesqueléticas.</w:t>
      </w:r>
    </w:p>
    <w:p w:rsidR="00000000" w:rsidDel="00000000" w:rsidP="00000000" w:rsidRDefault="00000000" w:rsidRPr="00000000" w14:paraId="0000004F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Elastografías.</w:t>
      </w:r>
    </w:p>
    <w:p w:rsidR="00000000" w:rsidDel="00000000" w:rsidP="00000000" w:rsidRDefault="00000000" w:rsidRPr="00000000" w14:paraId="00000050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Doppler Color</w:t>
      </w:r>
    </w:p>
    <w:p w:rsidR="00000000" w:rsidDel="00000000" w:rsidP="00000000" w:rsidRDefault="00000000" w:rsidRPr="00000000" w14:paraId="00000051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Intervencionismo ecoguiado (biopsias – cirugías)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Consultorio de clínica quirúrgica y clínica médica</w:t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 general</w:t>
      </w:r>
    </w:p>
    <w:p w:rsidR="00000000" w:rsidDel="00000000" w:rsidP="00000000" w:rsidRDefault="00000000" w:rsidRPr="00000000" w14:paraId="00000056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Medicina interna</w:t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Medicina de familia</w:t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Consultorio de Odontología –  CONTACTO DIRECTO: 3467 - 412615</w:t>
      </w:r>
    </w:p>
    <w:p w:rsidR="00000000" w:rsidDel="00000000" w:rsidP="00000000" w:rsidRDefault="00000000" w:rsidRPr="00000000" w14:paraId="0000005B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Atención a niños, adolescentes y adultos</w:t>
      </w:r>
    </w:p>
    <w:p w:rsidR="00000000" w:rsidDel="00000000" w:rsidP="00000000" w:rsidRDefault="00000000" w:rsidRPr="00000000" w14:paraId="0000005C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Blanqueamiento dental láser.</w:t>
      </w:r>
    </w:p>
    <w:p w:rsidR="00000000" w:rsidDel="00000000" w:rsidP="00000000" w:rsidRDefault="00000000" w:rsidRPr="00000000" w14:paraId="0000005D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Cirugía e implantes dentales.</w:t>
      </w:r>
    </w:p>
    <w:p w:rsidR="00000000" w:rsidDel="00000000" w:rsidP="00000000" w:rsidRDefault="00000000" w:rsidRPr="00000000" w14:paraId="0000005E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Endodoncia.</w:t>
      </w:r>
    </w:p>
    <w:p w:rsidR="00000000" w:rsidDel="00000000" w:rsidP="00000000" w:rsidRDefault="00000000" w:rsidRPr="00000000" w14:paraId="0000005F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Odontopediatría.</w:t>
      </w:r>
    </w:p>
    <w:p w:rsidR="00000000" w:rsidDel="00000000" w:rsidP="00000000" w:rsidRDefault="00000000" w:rsidRPr="00000000" w14:paraId="00000060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Ortodoncia.</w:t>
      </w:r>
    </w:p>
    <w:p w:rsidR="00000000" w:rsidDel="00000000" w:rsidP="00000000" w:rsidRDefault="00000000" w:rsidRPr="00000000" w14:paraId="00000061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Ortopedia funcional de los maxilares.</w:t>
      </w:r>
    </w:p>
    <w:p w:rsidR="00000000" w:rsidDel="00000000" w:rsidP="00000000" w:rsidRDefault="00000000" w:rsidRPr="00000000" w14:paraId="00000062">
      <w:pPr>
        <w:ind w:left="709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09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Consultorio de Psicología – CONTACTO DIRECTO: 3468 - 512830</w:t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0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Psicología para adultos y niños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Consultorio de Cosmetología Láser –  CONTACTO DIRECTO: 2473 - 416422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Depilación láser para mujeres y hombres</w:t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Cosmetología clínica integral</w:t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➕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-148589</wp:posOffset>
            </wp:positionH>
            <wp:positionV relativeFrom="paragraph">
              <wp:posOffset>1</wp:posOffset>
            </wp:positionV>
            <wp:extent cx="5857255" cy="5387798"/>
            <wp:effectExtent b="0" l="0" r="0" t="0"/>
            <wp:wrapSquare wrapText="bothSides" distB="0" distT="0" distL="114300" distR="114300"/>
            <wp:docPr descr="Interfaz de usuario gráfica, Sitio web&#10;&#10;El contenido generado por IA puede ser incorrecto." id="1806995080" name="image5.png"/>
            <a:graphic>
              <a:graphicData uri="http://schemas.openxmlformats.org/drawingml/2006/picture">
                <pic:pic>
                  <pic:nvPicPr>
                    <pic:cNvPr descr="Interfaz de usuario gráfica, Sitio web&#10;&#10;El contenido generado por IA puede ser incorrecto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255" cy="53877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yellow"/>
          <w:rtl w:val="0"/>
        </w:rPr>
        <w:t xml:space="preserve">La foto que corresponde es la primera (foto del quirófano), las otras dos se descartan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5857875" cy="2799025"/>
            <wp:effectExtent b="0" l="0" r="0" t="0"/>
            <wp:wrapSquare wrapText="bothSides" distB="0" distT="0" distL="114300" distR="114300"/>
            <wp:docPr descr="Interfaz de usuario gráfica, Aplicación&#10;&#10;El contenido generado por IA puede ser incorrecto." id="1806995079" name="image3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9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00" w:orient="portrait"/>
      <w:pgMar w:bottom="567" w:top="85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A240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A240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A240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A240B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s-ES_tradnl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A240B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A240B"/>
    <w:rPr>
      <w:rFonts w:cstheme="majorBidi" w:eastAsiaTheme="majorEastAsia"/>
      <w:color w:val="0f4761" w:themeColor="accent1" w:themeShade="0000BF"/>
      <w:sz w:val="28"/>
      <w:szCs w:val="28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A240B"/>
    <w:rPr>
      <w:rFonts w:cstheme="majorBidi" w:eastAsiaTheme="majorEastAsia"/>
      <w:i w:val="1"/>
      <w:iCs w:val="1"/>
      <w:color w:val="0f4761" w:themeColor="accent1" w:themeShade="0000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A240B"/>
    <w:rPr>
      <w:rFonts w:cstheme="majorBidi" w:eastAsiaTheme="majorEastAsia"/>
      <w:color w:val="0f4761" w:themeColor="accent1" w:themeShade="0000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A240B"/>
    <w:rPr>
      <w:rFonts w:cstheme="majorBidi" w:eastAsiaTheme="majorEastAsia"/>
      <w:i w:val="1"/>
      <w:iCs w:val="1"/>
      <w:color w:val="595959" w:themeColor="text1" w:themeTint="0000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A240B"/>
    <w:rPr>
      <w:rFonts w:cstheme="majorBidi" w:eastAsiaTheme="majorEastAsia"/>
      <w:color w:val="595959" w:themeColor="text1" w:themeTint="0000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A240B"/>
    <w:rPr>
      <w:rFonts w:cstheme="majorBidi" w:eastAsiaTheme="majorEastAsia"/>
      <w:i w:val="1"/>
      <w:iCs w:val="1"/>
      <w:color w:val="272727" w:themeColor="text1" w:themeTint="0000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A240B"/>
    <w:rPr>
      <w:rFonts w:cstheme="majorBidi" w:eastAsiaTheme="majorEastAsia"/>
      <w:color w:val="272727" w:themeColor="text1" w:themeTint="0000D8"/>
      <w:lang w:val="es-ES_tradnl"/>
    </w:rPr>
  </w:style>
  <w:style w:type="character" w:styleId="TtuloCar" w:customStyle="1">
    <w:name w:val="Título Car"/>
    <w:basedOn w:val="Fuentedeprrafopredeter"/>
    <w:link w:val="Ttulo"/>
    <w:uiPriority w:val="10"/>
    <w:rsid w:val="009A240B"/>
    <w:rPr>
      <w:rFonts w:asciiTheme="majorHAnsi" w:cstheme="majorBidi" w:eastAsiaTheme="majorEastAsia" w:hAnsiTheme="majorHAnsi"/>
      <w:spacing w:val="-10"/>
      <w:kern w:val="28"/>
      <w:sz w:val="56"/>
      <w:szCs w:val="56"/>
      <w:lang w:val="es-ES_tradnl"/>
    </w:rPr>
  </w:style>
  <w:style w:type="character" w:styleId="SubttuloCar" w:customStyle="1">
    <w:name w:val="Subtítulo Car"/>
    <w:basedOn w:val="Fuentedeprrafopredeter"/>
    <w:link w:val="Subttulo"/>
    <w:uiPriority w:val="11"/>
    <w:rsid w:val="009A240B"/>
    <w:rPr>
      <w:rFonts w:cstheme="majorBidi" w:eastAsiaTheme="majorEastAsia"/>
      <w:color w:val="595959" w:themeColor="text1" w:themeTint="0000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 w:val="1"/>
    <w:rsid w:val="009A240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A240B"/>
    <w:rPr>
      <w:i w:val="1"/>
      <w:iCs w:val="1"/>
      <w:color w:val="404040" w:themeColor="text1" w:themeTint="0000BF"/>
      <w:lang w:val="es-ES_tradnl"/>
    </w:rPr>
  </w:style>
  <w:style w:type="paragraph" w:styleId="Prrafodelista">
    <w:name w:val="List Paragraph"/>
    <w:basedOn w:val="Normal"/>
    <w:uiPriority w:val="34"/>
    <w:qFormat w:val="1"/>
    <w:rsid w:val="009A240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A240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A240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A240B"/>
    <w:rPr>
      <w:i w:val="1"/>
      <w:iCs w:val="1"/>
      <w:color w:val="0f4761" w:themeColor="accent1" w:themeShade="0000BF"/>
      <w:lang w:val="es-ES_tradnl"/>
    </w:rPr>
  </w:style>
  <w:style w:type="character" w:styleId="Referenciaintensa">
    <w:name w:val="Intense Reference"/>
    <w:basedOn w:val="Fuentedeprrafopredeter"/>
    <w:uiPriority w:val="32"/>
    <w:qFormat w:val="1"/>
    <w:rsid w:val="009A240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sN9Ej8tgfiSwMnfBR7cbIB+HDA==">CgMxLjA4AHIhMW91TGlpVUFIZEVHMzlaQnl0anRMcHpyWVlLcWtjckNW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2026-01-24T14:59:00Z</dcterms:created>
  <dc:creator>Raúl Giunta</dc:creator>
</cp:coreProperties>
</file>