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2"/>
          <w:szCs w:val="22"/>
        </w:rPr>
      </w:pPr>
      <w:bookmarkStart w:colFirst="0" w:colLast="0" w:name="_ggsck5m9l3x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Декомпозиция действий курьеров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 декомпозиции: </w:t>
      </w:r>
      <w:r w:rsidDel="00000000" w:rsidR="00000000" w:rsidRPr="00000000">
        <w:rPr>
          <w:rtl w:val="0"/>
        </w:rPr>
        <w:t xml:space="preserve">выделение функций.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Упрощение и структурирование процессов, выполняемых курьерами.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последовательности действий для выполнения задачи доставки заказов.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Вид декомпозиции: </w:t>
      </w:r>
      <w:r w:rsidDel="00000000" w:rsidR="00000000" w:rsidRPr="00000000">
        <w:rPr>
          <w:rtl w:val="0"/>
        </w:rPr>
        <w:t xml:space="preserve">функциональная.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уровней: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уровня.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Декомпозиция действий: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916025" cy="544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160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Объектная декомпозиция действующих лиц (ролей)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 объектной декомпозиции: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Определение всех ролей, вовлечённых в процесс доставки, и их обязанностей.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Разделение задач по ролям для упрощения взаимодействия.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уровней: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 уровня.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Декомпозиция ролей: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3935075" cy="640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350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