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BUSINESS CONTINUITY SERVICES AGREEMENT</w:t>
      </w:r>
    </w:p>
    <w:p>
      <w:pPr>
        <w:jc w:val="center"/>
      </w:pPr>
      <w:r>
        <w:rPr>
          <w:i/>
        </w:rPr>
        <w:t>Contract ID: UCLG-INS-2023-024 | Status: Draft | Expiry: 2026-05-27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Inkanyezi Debt Solutions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Inkanyezi Debt Solutions (Pty) Ltd</w:t>
            </w:r>
          </w:p>
        </w:tc>
      </w:tr>
      <w:tr>
        <w:tc>
          <w:tcPr>
            <w:tcW w:type="dxa" w:w="2520"/>
            <w:vAlign w:val="center"/>
          </w:tcPr>
          <w:p>
            <w:r>
              <w:t>Category</w:t>
            </w:r>
          </w:p>
        </w:tc>
        <w:tc>
          <w:tcPr>
            <w:tcW w:type="dxa" w:w="2520"/>
            <w:vAlign w:val="center"/>
          </w:tcPr>
          <w:p>
            <w:r>
              <w:t>Insurance and Risk</w:t>
            </w:r>
          </w:p>
        </w:tc>
        <w:tc>
          <w:tcPr>
            <w:tcW w:type="dxa" w:w="2520"/>
            <w:vAlign w:val="center"/>
          </w:tcPr>
          <w:p>
            <w:r>
              <w:t>Document Type</w:t>
            </w:r>
          </w:p>
        </w:tc>
        <w:tc>
          <w:tcPr>
            <w:tcW w:type="dxa" w:w="2520"/>
            <w:vAlign w:val="center"/>
          </w:tcPr>
          <w:p>
            <w:r>
              <w:t>Business Continuity Services Agreement</w:t>
            </w:r>
          </w:p>
        </w:tc>
      </w:tr>
      <w:tr>
        <w:tc>
          <w:tcPr>
            <w:tcW w:type="dxa" w:w="2520"/>
            <w:vAlign w:val="center"/>
          </w:tcPr>
          <w:p>
            <w:r>
              <w:t>Start Date</w:t>
            </w:r>
          </w:p>
        </w:tc>
        <w:tc>
          <w:tcPr>
            <w:tcW w:type="dxa" w:w="2520"/>
            <w:vAlign w:val="center"/>
          </w:tcPr>
          <w:p>
            <w:r>
              <w:t>2023-05-12</w:t>
            </w:r>
          </w:p>
        </w:tc>
        <w:tc>
          <w:tcPr>
            <w:tcW w:type="dxa" w:w="2520"/>
            <w:vAlign w:val="center"/>
          </w:tcPr>
          <w:p>
            <w:r>
              <w:t>End Date</w:t>
            </w:r>
          </w:p>
        </w:tc>
        <w:tc>
          <w:tcPr>
            <w:tcW w:type="dxa" w:w="2520"/>
            <w:vAlign w:val="center"/>
          </w:tcPr>
          <w:p>
            <w:r>
              <w:t>2026-05-27</w:t>
            </w:r>
          </w:p>
        </w:tc>
      </w:tr>
      <w:tr>
        <w:tc>
          <w:tcPr>
            <w:tcW w:type="dxa" w:w="2520"/>
            <w:vAlign w:val="center"/>
          </w:tcPr>
          <w:p>
            <w:r>
              <w:t>Contract Value</w:t>
            </w:r>
          </w:p>
        </w:tc>
        <w:tc>
          <w:tcPr>
            <w:tcW w:type="dxa" w:w="2520"/>
            <w:vAlign w:val="center"/>
          </w:tcPr>
          <w:p>
            <w:r>
              <w:t>R1,510,000.00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Finance</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advisory, intermediary, risk, insurance, or business continuity support.</w:t>
      </w:r>
    </w:p>
    <w:p>
      <w:pPr>
        <w:pStyle w:val="Heading1"/>
      </w:pPr>
      <w:r>
        <w:t>4. Scope of Work / Funding Conditions</w:t>
      </w:r>
    </w:p>
    <w:p>
      <w:pPr>
        <w:pStyle w:val="ListBullet"/>
      </w:pPr>
      <w:r>
        <w:t>Deliver the agreed business continuity services agreement outputs in accordance with approved written instructions and this mock agreement.</w:t>
      </w:r>
    </w:p>
    <w:p>
      <w:pPr>
        <w:pStyle w:val="ListBullet"/>
      </w:pPr>
      <w:r>
        <w:t>Submit monthly or milestone reports to the Finance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R1,510,000.00.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Advice Limitations</w:t>
      </w:r>
    </w:p>
    <w:p>
      <w:r>
        <w:t>The provider must distinguish between advisory support, intermediary activity, and final commercial decisions made by the principal.</w:t>
      </w:r>
    </w:p>
    <w:p>
      <w:pPr>
        <w:pStyle w:val="Heading2"/>
      </w:pPr>
      <w:r>
        <w:t>Risk Reporting</w:t>
      </w:r>
    </w:p>
    <w:p>
      <w:r>
        <w:t>Reports must identify assumptions, exclusions, residual risks, and recommended controls in a clear management-readable format.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2023-05-12 and ends on 2026-05-27,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Inkanyezi Debt Solutions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Contracts/2023/Insurance and Risk/Inkanyezi Debt Solutions (Pty) Ltd/Drafts/UCLG-INS-2023-024 - Business Continuity Services Agreement - Inkanyezi_Debt_Solutions_Pty_Ltd.docx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Services Agreement</dc:title>
  <dc:subject>Mock Insurance and Risk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