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IMPLEMENTATION AND SUPPORT AGREEMENT</w:t>
      </w:r>
    </w:p>
    <w:p>
      <w:pPr>
        <w:jc w:val="center"/>
      </w:pPr>
      <w:r>
        <w:rPr>
          <w:i/>
        </w:rPr>
        <w:t>Contract ID: UCLG-SOF-2024-042 | Status: Executed | Expiry: 2026-10-31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Venda Renewable Projects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Venda Renewable Projects (Pty) Ltd</w:t>
            </w:r>
          </w:p>
        </w:tc>
      </w:tr>
      <w:tr>
        <w:tc>
          <w:tcPr>
            <w:tcW w:type="dxa" w:w="2520"/>
            <w:vAlign w:val="center"/>
          </w:tcPr>
          <w:p>
            <w:r>
              <w:t>Category</w:t>
            </w:r>
          </w:p>
        </w:tc>
        <w:tc>
          <w:tcPr>
            <w:tcW w:type="dxa" w:w="2520"/>
            <w:vAlign w:val="center"/>
          </w:tcPr>
          <w:p>
            <w:r>
              <w:t>Software and Licensing</w:t>
            </w:r>
          </w:p>
        </w:tc>
        <w:tc>
          <w:tcPr>
            <w:tcW w:type="dxa" w:w="2520"/>
            <w:vAlign w:val="center"/>
          </w:tcPr>
          <w:p>
            <w:r>
              <w:t>Document Type</w:t>
            </w:r>
          </w:p>
        </w:tc>
        <w:tc>
          <w:tcPr>
            <w:tcW w:type="dxa" w:w="2520"/>
            <w:vAlign w:val="center"/>
          </w:tcPr>
          <w:p>
            <w:r>
              <w:t>Implementation and Support Agreement</w:t>
            </w:r>
          </w:p>
        </w:tc>
      </w:tr>
      <w:tr>
        <w:tc>
          <w:tcPr>
            <w:tcW w:type="dxa" w:w="2520"/>
            <w:vAlign w:val="center"/>
          </w:tcPr>
          <w:p>
            <w:r>
              <w:t>Start Date</w:t>
            </w:r>
          </w:p>
        </w:tc>
        <w:tc>
          <w:tcPr>
            <w:tcW w:type="dxa" w:w="2520"/>
            <w:vAlign w:val="center"/>
          </w:tcPr>
          <w:p>
            <w:r>
              <w:t>2024-09-18</w:t>
            </w:r>
          </w:p>
        </w:tc>
        <w:tc>
          <w:tcPr>
            <w:tcW w:type="dxa" w:w="2520"/>
            <w:vAlign w:val="center"/>
          </w:tcPr>
          <w:p>
            <w:r>
              <w:t>End Date</w:t>
            </w:r>
          </w:p>
        </w:tc>
        <w:tc>
          <w:tcPr>
            <w:tcW w:type="dxa" w:w="2520"/>
            <w:vAlign w:val="center"/>
          </w:tcPr>
          <w:p>
            <w:r>
              <w:t>2026-10-31</w:t>
            </w:r>
          </w:p>
        </w:tc>
      </w:tr>
      <w:tr>
        <w:tc>
          <w:tcPr>
            <w:tcW w:type="dxa" w:w="2520"/>
            <w:vAlign w:val="center"/>
          </w:tcPr>
          <w:p>
            <w:r>
              <w:t>Contract Value</w:t>
            </w:r>
          </w:p>
        </w:tc>
        <w:tc>
          <w:tcPr>
            <w:tcW w:type="dxa" w:w="2520"/>
            <w:vAlign w:val="center"/>
          </w:tcPr>
          <w:p>
            <w:r>
              <w:t>R316,000.00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Credit</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software, licensing, hosting, implementation, support, or integration services.</w:t>
      </w:r>
    </w:p>
    <w:p>
      <w:pPr>
        <w:pStyle w:val="Heading1"/>
      </w:pPr>
      <w:r>
        <w:t>4. Scope of Work / Funding Conditions</w:t>
      </w:r>
    </w:p>
    <w:p>
      <w:pPr>
        <w:pStyle w:val="ListBullet"/>
      </w:pPr>
      <w:r>
        <w:t>Deliver the agreed implementation and support agreement outputs in accordance with approved written instructions and this mock agreement.</w:t>
      </w:r>
    </w:p>
    <w:p>
      <w:pPr>
        <w:pStyle w:val="ListBullet"/>
      </w:pPr>
      <w:r>
        <w:t>Submit monthly or milestone reports to the Credit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R316,000.00.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Licence Scope</w:t>
      </w:r>
    </w:p>
    <w:p>
      <w:r>
        <w:t>Access is limited to named users, approved environments, and the contracted modules. Reverse engineering, resale, and unauthorised sub-licensing are prohibited.</w:t>
      </w:r>
    </w:p>
    <w:p>
      <w:pPr>
        <w:pStyle w:val="Heading2"/>
      </w:pPr>
      <w:r>
        <w:t>Data Security and Availability</w:t>
      </w:r>
    </w:p>
    <w:p>
      <w:r>
        <w:t>The provider must apply reasonable access controls, backup procedures, incident reporting processes, and secure development practices for hosted or integrated systems.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2024-09-18 and ends on 2026-10-31,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Venda Renewable Projects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Contracts/2024/Software and Licensing/Venda Renewable Projects (Pty) Ltd/Signed Documents/UCLG-SOF-2024-042 - Implementation and Support Agreement - Venda_Renewable_Projects_Pty_Ltd.docx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Support Agreement</dc:title>
  <dc:subject>Mock Software and Licensing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