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BRIDGING FINANCE AGREEMENT</w:t>
      </w:r>
    </w:p>
    <w:p>
      <w:pPr>
        <w:jc w:val="center"/>
      </w:pPr>
      <w:r>
        <w:rPr>
          <w:i/>
        </w:rPr>
        <w:t>Contract ID: UCLG-LOA-2021-002 | Status: Expired | Expiry: 2025-05-23 (Expired)</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Kopano Legal Consultants Inc.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Kopano Legal Consultants Inc.</w:t>
            </w:r>
          </w:p>
        </w:tc>
      </w:tr>
      <w:tr>
        <w:tc>
          <w:tcPr>
            <w:tcW w:type="dxa" w:w="2520"/>
            <w:vAlign w:val="center"/>
          </w:tcPr>
          <w:p>
            <w:r>
              <w:t>Category</w:t>
            </w:r>
          </w:p>
        </w:tc>
        <w:tc>
          <w:tcPr>
            <w:tcW w:type="dxa" w:w="2520"/>
            <w:vAlign w:val="center"/>
          </w:tcPr>
          <w:p>
            <w:r>
              <w:t>Loan Agreements</w:t>
            </w:r>
          </w:p>
        </w:tc>
        <w:tc>
          <w:tcPr>
            <w:tcW w:type="dxa" w:w="2520"/>
            <w:vAlign w:val="center"/>
          </w:tcPr>
          <w:p>
            <w:r>
              <w:t>Document Type</w:t>
            </w:r>
          </w:p>
        </w:tc>
        <w:tc>
          <w:tcPr>
            <w:tcW w:type="dxa" w:w="2520"/>
            <w:vAlign w:val="center"/>
          </w:tcPr>
          <w:p>
            <w:r>
              <w:t>Bridging Finance Agreement</w:t>
            </w:r>
          </w:p>
        </w:tc>
      </w:tr>
      <w:tr>
        <w:tc>
          <w:tcPr>
            <w:tcW w:type="dxa" w:w="2520"/>
            <w:vAlign w:val="center"/>
          </w:tcPr>
          <w:p>
            <w:r>
              <w:t>Start Date</w:t>
            </w:r>
          </w:p>
        </w:tc>
        <w:tc>
          <w:tcPr>
            <w:tcW w:type="dxa" w:w="2520"/>
            <w:vAlign w:val="center"/>
          </w:tcPr>
          <w:p>
            <w:r>
              <w:t>2021-02-08</w:t>
            </w:r>
          </w:p>
        </w:tc>
        <w:tc>
          <w:tcPr>
            <w:tcW w:type="dxa" w:w="2520"/>
            <w:vAlign w:val="center"/>
          </w:tcPr>
          <w:p>
            <w:r>
              <w:t>End Date</w:t>
            </w:r>
          </w:p>
        </w:tc>
        <w:tc>
          <w:tcPr>
            <w:tcW w:type="dxa" w:w="2520"/>
            <w:vAlign w:val="center"/>
          </w:tcPr>
          <w:p>
            <w:r>
              <w:t>2025-05-23</w:t>
            </w:r>
          </w:p>
        </w:tc>
      </w:tr>
      <w:tr>
        <w:tc>
          <w:tcPr>
            <w:tcW w:type="dxa" w:w="2520"/>
            <w:vAlign w:val="center"/>
          </w:tcPr>
          <w:p>
            <w:r>
              <w:t>Contract Value</w:t>
            </w:r>
          </w:p>
        </w:tc>
        <w:tc>
          <w:tcPr>
            <w:tcW w:type="dxa" w:w="2520"/>
            <w:vAlign w:val="center"/>
          </w:tcPr>
          <w:p>
            <w:r>
              <w:t>R198,000.00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Compliance</w:t>
            </w:r>
          </w:p>
        </w:tc>
        <w:tc>
          <w:tcPr>
            <w:tcW w:type="dxa" w:w="2520"/>
            <w:vAlign w:val="center"/>
          </w:tcPr>
          <w:p>
            <w:r>
              <w:t>Contract Owner</w:t>
            </w:r>
          </w:p>
        </w:tc>
        <w:tc>
          <w:tcPr>
            <w:tcW w:type="dxa" w:w="2520"/>
            <w:vAlign w:val="center"/>
          </w:tcPr>
          <w:p>
            <w:r>
              <w:t>Faith Mokoena</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principal provides a mock business funding facility to support approved working capital, asset acquisition, or growth activities of the counterparty.</w:t>
      </w:r>
    </w:p>
    <w:p>
      <w:pPr>
        <w:pStyle w:val="Heading1"/>
      </w:pPr>
      <w:r>
        <w:t>4. Scope of Work / Funding Conditions</w:t>
      </w:r>
    </w:p>
    <w:p>
      <w:pPr>
        <w:pStyle w:val="ListBullet"/>
      </w:pPr>
      <w:r>
        <w:t>Deliver the agreed bridging finance agreement outputs in accordance with approved written instructions and this mock agreement.</w:t>
      </w:r>
    </w:p>
    <w:p>
      <w:pPr>
        <w:pStyle w:val="ListBullet"/>
      </w:pPr>
      <w:r>
        <w:t>Submit monthly or milestone reports to the Compliance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R198,000.00.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Responsible Credit and Use of Funds</w:t>
      </w:r>
    </w:p>
    <w:p>
      <w:r>
        <w:t>The borrower must use the facility only for the approved business purpose. The principal may request affordability, repayment, and use-of-funds records, and may suspend drawdowns where fraud, reckless credit risk, or misuse is reasonably suspected.</w:t>
      </w:r>
    </w:p>
    <w:p>
      <w:pPr>
        <w:pStyle w:val="Heading2"/>
      </w:pPr>
      <w:r>
        <w:t>Repayment and Default</w:t>
      </w:r>
    </w:p>
    <w:p>
      <w:r>
        <w:t>Repayment dates, interest assumptions, fees, and default consequences in this mock contract are placeholders for system testing and do not represent an actual credit quotation.</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2021-02-08 and ends on 2025-05-23, unless terminated earlier in accordance with its terms. The system should classify this agreement as 'Expired'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Kopano Legal Consultants Inc.</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Contracts/2021/Loan Agreements/Kopano Legal Consultants Inc./Signed Documents/UCLG-LOA-2021-002 - Bridging Finance Agreement - Kopano_Legal_Consultants_Inc.docx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Bridging Finance Agreement</dc:title>
  <dc:subject>Mock Loan Agreements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