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FACILITIES MAINTENANCE AGREEMENT</w:t>
      </w:r>
    </w:p>
    <w:p>
      <w:pPr>
        <w:jc w:val="center"/>
      </w:pPr>
      <w:r>
        <w:rPr>
          <w:i/>
        </w:rPr>
        <w:t>Contract ID: UCLG-FAC-2025-022 | Status: Active | Expiry: 2026-05-20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Ubuntu Privacy Consultants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Ubuntu Privacy Consultants (Pty) Ltd</w:t>
            </w:r>
          </w:p>
        </w:tc>
      </w:tr>
      <w:tr>
        <w:tc>
          <w:tcPr>
            <w:tcW w:type="dxa" w:w="2520"/>
            <w:vAlign w:val="center"/>
          </w:tcPr>
          <w:p>
            <w:r>
              <w:t>Category</w:t>
            </w:r>
          </w:p>
        </w:tc>
        <w:tc>
          <w:tcPr>
            <w:tcW w:type="dxa" w:w="2520"/>
            <w:vAlign w:val="center"/>
          </w:tcPr>
          <w:p>
            <w:r>
              <w:t>Facilities and Maintenance</w:t>
            </w:r>
          </w:p>
        </w:tc>
        <w:tc>
          <w:tcPr>
            <w:tcW w:type="dxa" w:w="2520"/>
            <w:vAlign w:val="center"/>
          </w:tcPr>
          <w:p>
            <w:r>
              <w:t>Document Type</w:t>
            </w:r>
          </w:p>
        </w:tc>
        <w:tc>
          <w:tcPr>
            <w:tcW w:type="dxa" w:w="2520"/>
            <w:vAlign w:val="center"/>
          </w:tcPr>
          <w:p>
            <w:r>
              <w:t>Facilities Maintenance Agreement</w:t>
            </w:r>
          </w:p>
        </w:tc>
      </w:tr>
      <w:tr>
        <w:tc>
          <w:tcPr>
            <w:tcW w:type="dxa" w:w="2520"/>
            <w:vAlign w:val="center"/>
          </w:tcPr>
          <w:p>
            <w:r>
              <w:t>Start Date</w:t>
            </w:r>
          </w:p>
        </w:tc>
        <w:tc>
          <w:tcPr>
            <w:tcW w:type="dxa" w:w="2520"/>
            <w:vAlign w:val="center"/>
          </w:tcPr>
          <w:p>
            <w:r>
              <w:t>2025-04-20</w:t>
            </w:r>
          </w:p>
        </w:tc>
        <w:tc>
          <w:tcPr>
            <w:tcW w:type="dxa" w:w="2520"/>
            <w:vAlign w:val="center"/>
          </w:tcPr>
          <w:p>
            <w:r>
              <w:t>End Date</w:t>
            </w:r>
          </w:p>
        </w:tc>
        <w:tc>
          <w:tcPr>
            <w:tcW w:type="dxa" w:w="2520"/>
            <w:vAlign w:val="center"/>
          </w:tcPr>
          <w:p>
            <w:r>
              <w:t>2026-05-20</w:t>
            </w:r>
          </w:p>
        </w:tc>
      </w:tr>
      <w:tr>
        <w:tc>
          <w:tcPr>
            <w:tcW w:type="dxa" w:w="2520"/>
            <w:vAlign w:val="center"/>
          </w:tcPr>
          <w:p>
            <w:r>
              <w:t>Contract Value</w:t>
            </w:r>
          </w:p>
        </w:tc>
        <w:tc>
          <w:tcPr>
            <w:tcW w:type="dxa" w:w="2520"/>
            <w:vAlign w:val="center"/>
          </w:tcPr>
          <w:p>
            <w:r>
              <w:t>R245,000.00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site, security, cleaning, maintenance, or facility support services.</w:t>
      </w:r>
    </w:p>
    <w:p>
      <w:pPr>
        <w:pStyle w:val="Heading1"/>
      </w:pPr>
      <w:r>
        <w:t>4. Scope of Work / Funding Conditions</w:t>
      </w:r>
    </w:p>
    <w:p>
      <w:pPr>
        <w:pStyle w:val="ListBullet"/>
      </w:pPr>
      <w:r>
        <w:t>Deliver the agreed facilities maintenance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R245,000.00.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Site Rules and Safety</w:t>
      </w:r>
    </w:p>
    <w:p>
      <w:r>
        <w:t>Personnel must comply with site rules, access control, occupational health and safety requirements, incident reporting, and reasonable instructions from authorised site representatives.</w:t>
      </w:r>
    </w:p>
    <w:p>
      <w:pPr>
        <w:pStyle w:val="Heading2"/>
      </w:pPr>
      <w:r>
        <w:t>Service Levels</w:t>
      </w:r>
    </w:p>
    <w:p>
      <w:r>
        <w:t>The provider must meet agreed response times, escalation routes, and maintenance schedules set out in the statement of work.</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2025-04-20 and ends on 2026-05-20,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Ubuntu Privacy Consultants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Contracts/2025/Facilities and Maintenance/Ubuntu Privacy Consultants (Pty) Ltd/Signed Documents/UCLG-FAC-2025-022 - Facilities Maintenance Agreement - Ubuntu_Privacy_Consultants_Pty_Ltd.docx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Maintenance Agreement</dc:title>
  <dc:subject>Mock Facilities and Maintenance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