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LEGAL PROCESS SUPPORT AGREEMENT</w:t>
      </w:r>
    </w:p>
    <w:p>
      <w:pPr>
        <w:jc w:val="center"/>
      </w:pPr>
      <w:r>
        <w:rPr>
          <w:b/>
        </w:rPr>
        <w:t>Contract No: MGLG-SP-2024-011</w:t>
      </w:r>
    </w:p>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Principal</w:t>
            </w:r>
          </w:p>
        </w:tc>
        <w:tc>
          <w:tcPr>
            <w:tcW w:type="dxa" w:w="5112"/>
            <w:vAlign w:val="center"/>
          </w:tcPr>
          <w:p>
            <w:r/>
            <w:r>
              <w:rPr>
                <w:b w:val="0"/>
                <w:sz w:val="18"/>
              </w:rPr>
              <w:t>Mzansi Growth Loans &amp; Grants (Pty) Ltd (Registration No. 2024/555888/07; mock NCR reference NCRCP-MOCK-2026-001)</w:t>
            </w:r>
          </w:p>
        </w:tc>
      </w:tr>
      <w:tr>
        <w:tc>
          <w:tcPr>
            <w:tcW w:type="dxa" w:w="5112"/>
            <w:vAlign w:val="center"/>
            <w:shd w:fill="D9EAF7"/>
          </w:tcPr>
          <w:p>
            <w:r/>
            <w:r>
              <w:rPr>
                <w:b/>
                <w:sz w:val="18"/>
              </w:rPr>
              <w:t>Service Provider</w:t>
            </w:r>
          </w:p>
        </w:tc>
        <w:tc>
          <w:tcPr>
            <w:tcW w:type="dxa" w:w="5112"/>
            <w:vAlign w:val="center"/>
          </w:tcPr>
          <w:p>
            <w:r/>
            <w:r>
              <w:rPr>
                <w:b w:val="0"/>
                <w:sz w:val="18"/>
              </w:rPr>
              <w:t>Ubuntu Legal Process Outsourcing (Pty) Ltd</w:t>
            </w:r>
          </w:p>
        </w:tc>
      </w:tr>
      <w:tr>
        <w:tc>
          <w:tcPr>
            <w:tcW w:type="dxa" w:w="5112"/>
            <w:vAlign w:val="center"/>
            <w:shd w:fill="D9EAF7"/>
          </w:tcPr>
          <w:p>
            <w:r/>
            <w:r>
              <w:rPr>
                <w:b/>
                <w:sz w:val="18"/>
              </w:rPr>
              <w:t>Department / Business Owner</w:t>
            </w:r>
          </w:p>
        </w:tc>
        <w:tc>
          <w:tcPr>
            <w:tcW w:type="dxa" w:w="5112"/>
            <w:vAlign w:val="center"/>
          </w:tcPr>
          <w:p>
            <w:r/>
            <w:r>
              <w:rPr>
                <w:b w:val="0"/>
                <w:sz w:val="18"/>
              </w:rPr>
              <w:t>Legal</w:t>
            </w:r>
          </w:p>
        </w:tc>
      </w:tr>
      <w:tr>
        <w:tc>
          <w:tcPr>
            <w:tcW w:type="dxa" w:w="5112"/>
            <w:vAlign w:val="center"/>
            <w:shd w:fill="D9EAF7"/>
          </w:tcPr>
          <w:p>
            <w:r/>
            <w:r>
              <w:rPr>
                <w:b/>
                <w:sz w:val="18"/>
              </w:rPr>
              <w:t>Commencement Date</w:t>
            </w:r>
          </w:p>
        </w:tc>
        <w:tc>
          <w:tcPr>
            <w:tcW w:type="dxa" w:w="5112"/>
            <w:vAlign w:val="center"/>
          </w:tcPr>
          <w:p>
            <w:r/>
            <w:r>
              <w:rPr>
                <w:b w:val="0"/>
                <w:sz w:val="18"/>
              </w:rPr>
              <w:t>2024-06-30</w:t>
            </w:r>
          </w:p>
        </w:tc>
      </w:tr>
      <w:tr>
        <w:tc>
          <w:tcPr>
            <w:tcW w:type="dxa" w:w="5112"/>
            <w:vAlign w:val="center"/>
            <w:shd w:fill="D9EAF7"/>
          </w:tcPr>
          <w:p>
            <w:r/>
            <w:r>
              <w:rPr>
                <w:b/>
                <w:sz w:val="18"/>
              </w:rPr>
              <w:t>Expiry Date</w:t>
            </w:r>
          </w:p>
        </w:tc>
        <w:tc>
          <w:tcPr>
            <w:tcW w:type="dxa" w:w="5112"/>
            <w:vAlign w:val="center"/>
          </w:tcPr>
          <w:p>
            <w:r/>
            <w:r>
              <w:rPr>
                <w:b w:val="0"/>
                <w:sz w:val="18"/>
              </w:rPr>
              <w:t>2026-06-30</w:t>
            </w:r>
          </w:p>
        </w:tc>
      </w:tr>
      <w:tr>
        <w:tc>
          <w:tcPr>
            <w:tcW w:type="dxa" w:w="5112"/>
            <w:vAlign w:val="center"/>
            <w:shd w:fill="D9EAF7"/>
          </w:tcPr>
          <w:p>
            <w:r/>
            <w:r>
              <w:rPr>
                <w:b/>
                <w:sz w:val="18"/>
              </w:rPr>
              <w:t>Contract Value</w:t>
            </w:r>
          </w:p>
        </w:tc>
        <w:tc>
          <w:tcPr>
            <w:tcW w:type="dxa" w:w="5112"/>
            <w:vAlign w:val="center"/>
          </w:tcPr>
          <w:p>
            <w:r/>
            <w:r>
              <w:rPr>
                <w:b w:val="0"/>
                <w:sz w:val="18"/>
              </w:rPr>
              <w:t>R 510,000.00 excl. VAT unless stated otherwise</w:t>
            </w:r>
          </w:p>
        </w:tc>
      </w:tr>
      <w:tr>
        <w:tc>
          <w:tcPr>
            <w:tcW w:type="dxa" w:w="5112"/>
            <w:vAlign w:val="center"/>
            <w:shd w:fill="D9EAF7"/>
          </w:tcPr>
          <w:p>
            <w:r/>
            <w:r>
              <w:rPr>
                <w:b/>
                <w:sz w:val="18"/>
              </w:rPr>
              <w:t>Contract Status for Test Data</w:t>
            </w:r>
          </w:p>
        </w:tc>
        <w:tc>
          <w:tcPr>
            <w:tcW w:type="dxa" w:w="5112"/>
            <w:vAlign w:val="center"/>
          </w:tcPr>
          <w:p>
            <w:r/>
            <w:r>
              <w:rPr>
                <w:b w:val="0"/>
                <w:sz w:val="18"/>
              </w:rPr>
              <w:t>Expires Next 3 Months</w:t>
            </w:r>
          </w:p>
        </w:tc>
      </w:tr>
      <w:tr>
        <w:tc>
          <w:tcPr>
            <w:tcW w:type="dxa" w:w="5112"/>
            <w:vAlign w:val="center"/>
            <w:shd w:fill="D9EAF7"/>
          </w:tcPr>
          <w:p>
            <w:r/>
            <w:r>
              <w:rPr>
                <w:b/>
                <w:sz w:val="18"/>
              </w:rPr>
              <w:t>Document Stage / Repository Folder</w:t>
            </w:r>
          </w:p>
        </w:tc>
        <w:tc>
          <w:tcPr>
            <w:tcW w:type="dxa" w:w="5112"/>
            <w:vAlign w:val="center"/>
          </w:tcPr>
          <w:p>
            <w:r/>
            <w:r>
              <w:rPr>
                <w:b w:val="0"/>
                <w:sz w:val="18"/>
              </w:rPr>
              <w:t>Signed Documents</w:t>
            </w:r>
          </w:p>
        </w:tc>
      </w:tr>
    </w:tbl>
    <w:p/>
    <w:p>
      <w:pPr>
        <w:pStyle w:val="Heading1"/>
      </w:pPr>
      <w:r>
        <w:rPr>
          <w:rFonts w:ascii="Arial" w:hAnsi="Arial"/>
        </w:rPr>
        <w:t>1. Parties and Background</w:t>
      </w:r>
    </w:p>
    <w:p>
      <w:r>
        <w:t>This mock agreement is entered into between Mzansi Growth Loans &amp; Grants (Pty) Ltd, a private company incorporated in the Republic of South Africa, and Ubuntu Legal Process Outsourcing (Pty) Ltd. The Principal operates a loans and grants business and requires third-party support services for lawful, auditable and secure operations.</w:t>
      </w:r>
    </w:p>
    <w:p>
      <w:r>
        <w:t>This document is synthetic test data for software development, demos, reporting and document-management workflows. It should not be used as a binding legal instrument without review by a South African legal practitioner.</w:t>
      </w:r>
    </w:p>
    <w:p>
      <w:pPr>
        <w:pStyle w:val="Heading1"/>
      </w:pPr>
      <w:r>
        <w:rPr>
          <w:rFonts w:ascii="Arial" w:hAnsi="Arial"/>
        </w:rPr>
        <w:t>2. Operative Clauses</w:t>
      </w:r>
    </w:p>
    <w:p>
      <w:pPr/>
      <w:r>
        <w:rPr>
          <w:b/>
        </w:rPr>
        <w:t xml:space="preserve">2.1. Appointment and Scope. </w:t>
      </w:r>
      <w:r>
        <w:t>The Principal appoints the Service Provider to deliver legal process support, document preparation support and matter administration services. The services must be performed with reasonable skill, care and diligence and in accordance with written instructions, approved statements of work, service levels and applicable South African law.</w:t>
      </w:r>
    </w:p>
    <w:p>
      <w:pPr/>
      <w:r>
        <w:rPr>
          <w:b/>
        </w:rPr>
        <w:t xml:space="preserve">2.2. Term. </w:t>
      </w:r>
      <w:r>
        <w:t>The agreement commences on 2024-06-30 and, unless terminated earlier in accordance with this agreement, expires on 2026-06-30. Any renewal must be recorded in writing and approved by the Principal's authorised representative.</w:t>
      </w:r>
    </w:p>
    <w:p>
      <w:pPr/>
      <w:r>
        <w:rPr>
          <w:b/>
        </w:rPr>
        <w:t xml:space="preserve">2.3. Fees and Invoicing. </w:t>
      </w:r>
      <w:r>
        <w:t>The estimated contract value is R 510,000.00. The Service Provider may invoice monthly, milestone-based or as otherwise agreed in an approved purchase order. Invoices must quote the contract number and comply with South African tax requirements, including VAT requirements where applicable.</w:t>
      </w:r>
    </w:p>
    <w:p>
      <w:pPr/>
      <w:r>
        <w:rPr>
          <w:b/>
        </w:rPr>
        <w:t xml:space="preserve">2.4. Service Levels and Records. </w:t>
      </w:r>
      <w:r>
        <w:t>The Service Provider must maintain complete and accurate records of work performed, deliverables submitted, incidents, approvals and supporting evidence for at least five years or any longer period required by law, the Principal's policies or an authorised regulator.</w:t>
      </w:r>
    </w:p>
    <w:p>
      <w:pPr/>
      <w:r>
        <w:rPr>
          <w:b/>
        </w:rPr>
        <w:t xml:space="preserve">2.5. POPIA and Confidentiality. </w:t>
      </w:r>
      <w:r>
        <w:t>Where either party processes personal information, it must do so lawfully, securely, for a specific purpose and only on documented instructions where acting as an operator. The Service Provider must implement appropriate safeguards, limit access to authorised personnel, report suspected data incidents promptly and assist the Principal with data-subject requests and regulator enquiries.</w:t>
      </w:r>
    </w:p>
    <w:p>
      <w:pPr/>
      <w:r>
        <w:rPr>
          <w:b/>
        </w:rPr>
        <w:t xml:space="preserve">2.6. Financial Sector Compliance. </w:t>
      </w:r>
      <w:r>
        <w:t>Because the Principal operates in a loans and grants environment, the Service Provider must not do anything that would cause the Principal to breach the National Credit Act, Financial Intelligence Centre Act, consumer-protection obligations, sanctions-screening obligations or any licence/registration condition applicable to the Principal. Where the services touch customer onboarding, the Service Provider must support auditable customer due diligence, record-keeping and escalation of suspicious or unusual activity.</w:t>
      </w:r>
    </w:p>
    <w:p>
      <w:pPr/>
      <w:r>
        <w:rPr>
          <w:b/>
        </w:rPr>
        <w:t xml:space="preserve">2.7. Anti-Bribery, Corruption and Conflicts. </w:t>
      </w:r>
      <w:r>
        <w:t>The Service Provider must comply with anti-corruption laws, avoid conflicts of interest, disclose any gifts or inducements, and immediately report suspected fraud, bribery or unethical conduct connected with the services.</w:t>
      </w:r>
    </w:p>
    <w:p>
      <w:pPr/>
      <w:r>
        <w:rPr>
          <w:b/>
        </w:rPr>
        <w:t xml:space="preserve">2.8. Information Security. </w:t>
      </w:r>
      <w:r>
        <w:t>The Service Provider must protect the Principal's systems and information using reasonable technical and organisational security measures, including access control, secure storage, password hygiene, malware protection and secure disposal of records. Security incidents must be reported without undue delay.</w:t>
      </w:r>
    </w:p>
    <w:p>
      <w:pPr/>
      <w:r>
        <w:rPr>
          <w:b/>
        </w:rPr>
        <w:t xml:space="preserve">2.9. Intellectual Property. </w:t>
      </w:r>
      <w:r>
        <w:t>Pre-existing intellectual property remains the property of the party that owned it before the agreement. Deliverables specifically created and paid for under this agreement are assigned to the Principal unless a statement of work states otherwise, subject to any third-party licence terms disclosed in writing.</w:t>
      </w:r>
    </w:p>
    <w:p>
      <w:pPr/>
      <w:r>
        <w:rPr>
          <w:b/>
        </w:rPr>
        <w:t xml:space="preserve">2.10. Subcontracting. </w:t>
      </w:r>
      <w:r>
        <w:t>The Service Provider may not subcontract material obligations without the Principal's prior written consent. Approved subcontractors must be bound by confidentiality, data protection, audit and compliance obligations no less protective than those in this agreement.</w:t>
      </w:r>
    </w:p>
    <w:p>
      <w:pPr/>
      <w:r>
        <w:rPr>
          <w:b/>
        </w:rPr>
        <w:t xml:space="preserve">2.11. Termination. </w:t>
      </w:r>
      <w:r>
        <w:t>Either party may terminate for material breach if the breach is not remedied within 20 business days after written notice. The Principal may terminate immediately for serious confidentiality, data-protection, fraud, sanctions, security or regulatory breaches, or where continued performance creates unacceptable compliance risk.</w:t>
      </w:r>
    </w:p>
    <w:p>
      <w:pPr/>
      <w:r>
        <w:rPr>
          <w:b/>
        </w:rPr>
        <w:t xml:space="preserve">2.12. Business Continuity. </w:t>
      </w:r>
      <w:r>
        <w:t>The Service Provider must maintain reasonable continuity arrangements and notify the Principal of any disruption likely to affect service delivery, data integrity, customer outcomes or regulatory reporting timelines.</w:t>
      </w:r>
    </w:p>
    <w:p>
      <w:pPr/>
      <w:r>
        <w:rPr>
          <w:b/>
        </w:rPr>
        <w:t xml:space="preserve">2.13. Electronic Signatures and Notices. </w:t>
      </w:r>
      <w:r>
        <w:t>The parties may sign this agreement electronically, and electronic records may be used for notices and approvals where permitted by South African law and the parties' agreed signing workflow. Formal notices must be sent to the addresses recorded in this agreement or any updated address notified in writing.</w:t>
      </w:r>
    </w:p>
    <w:p>
      <w:pPr/>
      <w:r>
        <w:rPr>
          <w:b/>
        </w:rPr>
        <w:t xml:space="preserve">2.14. Governing Law and Disputes. </w:t>
      </w:r>
      <w:r>
        <w:t>This agreement is governed by the laws of the Republic of South Africa. The parties must first attempt good-faith executive negotiation. If unresolved, the dispute may be referred to mediation or arbitration in Johannesburg, South Africa, unless urgent court relief is required.</w:t>
      </w:r>
    </w:p>
    <w:p>
      <w:pPr>
        <w:pStyle w:val="Heading1"/>
      </w:pPr>
      <w:r>
        <w:rPr>
          <w:rFonts w:ascii="Arial" w:hAnsi="Arial"/>
        </w:rPr>
        <w:t>3. Signature Block</w:t>
      </w:r>
    </w:p>
    <w:tbl>
      <w:tblPr>
        <w:tblStyle w:val="TableGrid"/>
        <w:tblW w:type="auto" w:w="0"/>
        <w:tblLook w:firstColumn="1" w:firstRow="1" w:lastColumn="0" w:lastRow="0" w:noHBand="0" w:noVBand="1" w:val="04A0"/>
      </w:tblPr>
      <w:tblGrid>
        <w:gridCol w:w="5112"/>
        <w:gridCol w:w="5112"/>
      </w:tblGrid>
      <w:tr>
        <w:tc>
          <w:tcPr>
            <w:tcW w:type="dxa" w:w="5112"/>
            <w:vAlign w:val="center"/>
            <w:shd w:fill="E2F0D9"/>
          </w:tcPr>
          <w:p>
            <w:r/>
            <w:r>
              <w:rPr>
                <w:b/>
                <w:sz w:val="18"/>
              </w:rPr>
              <w:t>For the Principal</w:t>
            </w:r>
          </w:p>
        </w:tc>
        <w:tc>
          <w:tcPr>
            <w:tcW w:type="dxa" w:w="5112"/>
            <w:vAlign w:val="center"/>
            <w:shd w:fill="E2F0D9"/>
          </w:tcPr>
          <w:p>
            <w:r/>
            <w:r>
              <w:rPr>
                <w:b/>
                <w:sz w:val="18"/>
              </w:rPr>
              <w:t>For the Service Provider</w:t>
            </w:r>
          </w:p>
        </w:tc>
      </w:tr>
      <w:tr>
        <w:tc>
          <w:tcPr>
            <w:tcW w:type="dxa" w:w="5112"/>
            <w:vAlign w:val="center"/>
          </w:tcPr>
          <w:p>
            <w:r/>
            <w:r>
              <w:rPr>
                <w:b w:val="0"/>
                <w:sz w:val="18"/>
              </w:rPr>
              <w:t>Name:</w:t>
            </w:r>
          </w:p>
        </w:tc>
        <w:tc>
          <w:tcPr>
            <w:tcW w:type="dxa" w:w="5112"/>
            <w:vAlign w:val="center"/>
          </w:tcPr>
          <w:p>
            <w:r/>
            <w:r>
              <w:rPr>
                <w:b w:val="0"/>
                <w:sz w:val="18"/>
              </w:rPr>
              <w:t>Name:</w:t>
            </w:r>
          </w:p>
        </w:tc>
      </w:tr>
      <w:tr>
        <w:tc>
          <w:tcPr>
            <w:tcW w:type="dxa" w:w="5112"/>
            <w:vAlign w:val="center"/>
          </w:tcPr>
          <w:p>
            <w:r/>
            <w:r>
              <w:rPr>
                <w:b w:val="0"/>
                <w:sz w:val="18"/>
              </w:rPr>
              <w:t>Capacity:</w:t>
            </w:r>
          </w:p>
        </w:tc>
        <w:tc>
          <w:tcPr>
            <w:tcW w:type="dxa" w:w="5112"/>
            <w:vAlign w:val="center"/>
          </w:tcPr>
          <w:p>
            <w:r/>
            <w:r>
              <w:rPr>
                <w:b w:val="0"/>
                <w:sz w:val="18"/>
              </w:rPr>
              <w:t>Capacity:</w:t>
            </w:r>
          </w:p>
        </w:tc>
      </w:tr>
      <w:tr>
        <w:tc>
          <w:tcPr>
            <w:tcW w:type="dxa" w:w="5112"/>
            <w:vAlign w:val="center"/>
          </w:tcPr>
          <w:p>
            <w:r/>
            <w:r>
              <w:rPr>
                <w:b w:val="0"/>
                <w:sz w:val="18"/>
              </w:rPr>
              <w:t>Date:</w:t>
            </w:r>
          </w:p>
        </w:tc>
        <w:tc>
          <w:tcPr>
            <w:tcW w:type="dxa" w:w="5112"/>
            <w:vAlign w:val="center"/>
          </w:tcPr>
          <w:p>
            <w:r/>
            <w:r>
              <w:rPr>
                <w:b w:val="0"/>
                <w:sz w:val="18"/>
              </w:rPr>
              <w:t>Date:</w:t>
            </w:r>
          </w:p>
        </w:tc>
      </w:tr>
    </w:tbl>
    <w:p/>
    <w:p>
      <w:r>
        <w:rPr>
          <w:b/>
        </w:rPr>
        <w:t xml:space="preserve">Mock Legal Notice: </w:t>
      </w:r>
      <w:r>
        <w:t>This is fictional sample content for system testing. Company names, registration details, NCR references, amounts and parties are invented.</w:t>
      </w:r>
    </w:p>
    <w:sectPr w:rsidR="00FC693F" w:rsidRPr="0006063C" w:rsidSect="00034616">
      <w:headerReference w:type="default" r:id="rId9"/>
      <w:footerReference w:type="default" r:id="rId10"/>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Mock document for contract management system testing - not legal advice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Mzansi Growth Loans &amp; Grants (Pty) Ltd | Mock Service Provider Contract | MGLG-SP-2024-011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