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MEMORANDUM OF UNDERSTANDING</w:t>
      </w:r>
    </w:p>
    <w:p>
      <w:pPr>
        <w:jc w:val="center"/>
      </w:pPr>
      <w:r>
        <w:rPr>
          <w:i/>
        </w:rPr>
        <w:t>Contract ID: UCLG-PAR-2025-029 | Status: Pending Signature | Expiry: 2026-06-15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Metsi Facilities Management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Metsi Facilities Management (Pty) Ltd</w:t>
            </w:r>
          </w:p>
        </w:tc>
      </w:tr>
      <w:tr>
        <w:tc>
          <w:tcPr>
            <w:tcW w:type="dxa" w:w="2520"/>
            <w:vAlign w:val="center"/>
          </w:tcPr>
          <w:p>
            <w:r>
              <w:t>Category</w:t>
            </w:r>
          </w:p>
        </w:tc>
        <w:tc>
          <w:tcPr>
            <w:tcW w:type="dxa" w:w="2520"/>
            <w:vAlign w:val="center"/>
          </w:tcPr>
          <w:p>
            <w:r>
              <w:t>Partnerships and MOUs</w:t>
            </w:r>
          </w:p>
        </w:tc>
        <w:tc>
          <w:tcPr>
            <w:tcW w:type="dxa" w:w="2520"/>
            <w:vAlign w:val="center"/>
          </w:tcPr>
          <w:p>
            <w:r>
              <w:t>Document Type</w:t>
            </w:r>
          </w:p>
        </w:tc>
        <w:tc>
          <w:tcPr>
            <w:tcW w:type="dxa" w:w="2520"/>
            <w:vAlign w:val="center"/>
          </w:tcPr>
          <w:p>
            <w:r>
              <w:t>Memorandum of Understanding</w:t>
            </w:r>
          </w:p>
        </w:tc>
      </w:tr>
      <w:tr>
        <w:tc>
          <w:tcPr>
            <w:tcW w:type="dxa" w:w="2520"/>
            <w:vAlign w:val="center"/>
          </w:tcPr>
          <w:p>
            <w:r>
              <w:t>Start Date</w:t>
            </w:r>
          </w:p>
        </w:tc>
        <w:tc>
          <w:tcPr>
            <w:tcW w:type="dxa" w:w="2520"/>
            <w:vAlign w:val="center"/>
          </w:tcPr>
          <w:p>
            <w:r>
              <w:t>2025-05-15</w:t>
            </w:r>
          </w:p>
        </w:tc>
        <w:tc>
          <w:tcPr>
            <w:tcW w:type="dxa" w:w="2520"/>
            <w:vAlign w:val="center"/>
          </w:tcPr>
          <w:p>
            <w:r>
              <w:t>End Date</w:t>
            </w:r>
          </w:p>
        </w:tc>
        <w:tc>
          <w:tcPr>
            <w:tcW w:type="dxa" w:w="2520"/>
            <w:vAlign w:val="center"/>
          </w:tcPr>
          <w:p>
            <w:r>
              <w:t>2026-06-15</w:t>
            </w:r>
          </w:p>
        </w:tc>
      </w:tr>
      <w:tr>
        <w:tc>
          <w:tcPr>
            <w:tcW w:type="dxa" w:w="2520"/>
            <w:vAlign w:val="center"/>
          </w:tcPr>
          <w:p>
            <w:r>
              <w:t>Contract Value</w:t>
            </w:r>
          </w:p>
        </w:tc>
        <w:tc>
          <w:tcPr>
            <w:tcW w:type="dxa" w:w="2520"/>
            <w:vAlign w:val="center"/>
          </w:tcPr>
          <w:p>
            <w:r>
              <w:t>R576,000.00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parties intend to cooperate on referrals, SMME support, programme delivery, or other mutually beneficial initiatives.</w:t>
      </w:r>
    </w:p>
    <w:p>
      <w:pPr>
        <w:pStyle w:val="Heading1"/>
      </w:pPr>
      <w:r>
        <w:t>4. Scope of Work / Funding Conditions</w:t>
      </w:r>
    </w:p>
    <w:p>
      <w:pPr>
        <w:pStyle w:val="ListBullet"/>
      </w:pPr>
      <w:r>
        <w:t>Deliver the agreed memorandum of understanding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R576,000.00.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Non-Exclusivity</w:t>
      </w:r>
    </w:p>
    <w:p>
      <w:r>
        <w:t>Unless expressly stated otherwise, this arrangement is non-exclusive and does not create a partnership in the legal sense, agency, employment relationship, or joint venture.</w:t>
      </w:r>
    </w:p>
    <w:p>
      <w:pPr>
        <w:pStyle w:val="Heading2"/>
      </w:pPr>
      <w:r>
        <w:t>Referral Integrity</w:t>
      </w:r>
    </w:p>
    <w:p>
      <w:r>
        <w:t>Referrals and introductions must be transparent, lawful, and free of undisclosed inducements or misleading statements.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2025-05-15 and ends on 2026-06-15,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Metsi Facilities Management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Contracts/2025/Partnerships and MOUs/Metsi Facilities Management (Pty) Ltd/Final/UCLG-PAR-2025-029 - Memorandum of Understanding - Metsi_Facilities_Management_Pty_Ltd.docx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dc:title>
  <dc:subject>Mock Partnerships and MOUs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