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INTERNAL AUDIT SERVICES AGREEMENT</w:t>
      </w:r>
    </w:p>
    <w:p>
      <w:pPr>
        <w:jc w:val="center"/>
      </w:pPr>
      <w:r>
        <w:rPr>
          <w:i/>
        </w:rPr>
        <w:t>Contract ID: UCLG-COM-2023-007 | Status: Expired | Expiry: 2024-03-09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Karoo Asset Finance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Karoo Asset Finance (Pty) Ltd</w:t>
            </w:r>
          </w:p>
        </w:tc>
      </w:tr>
      <w:tr>
        <w:tc>
          <w:tcPr>
            <w:tcW w:type="dxa" w:w="2520"/>
            <w:vAlign w:val="center"/>
          </w:tcPr>
          <w:p>
            <w:r>
              <w:t>Category</w:t>
            </w:r>
          </w:p>
        </w:tc>
        <w:tc>
          <w:tcPr>
            <w:tcW w:type="dxa" w:w="2520"/>
            <w:vAlign w:val="center"/>
          </w:tcPr>
          <w:p>
            <w:r>
              <w:t>Compliance and Audit</w:t>
            </w:r>
          </w:p>
        </w:tc>
        <w:tc>
          <w:tcPr>
            <w:tcW w:type="dxa" w:w="2520"/>
            <w:vAlign w:val="center"/>
          </w:tcPr>
          <w:p>
            <w:r>
              <w:t>Document Type</w:t>
            </w:r>
          </w:p>
        </w:tc>
        <w:tc>
          <w:tcPr>
            <w:tcW w:type="dxa" w:w="2520"/>
            <w:vAlign w:val="center"/>
          </w:tcPr>
          <w:p>
            <w:r>
              <w:t>Internal Audit Services Agreement</w:t>
            </w:r>
          </w:p>
        </w:tc>
      </w:tr>
      <w:tr>
        <w:tc>
          <w:tcPr>
            <w:tcW w:type="dxa" w:w="2520"/>
            <w:vAlign w:val="center"/>
          </w:tcPr>
          <w:p>
            <w:r>
              <w:t>Start Date</w:t>
            </w:r>
          </w:p>
        </w:tc>
        <w:tc>
          <w:tcPr>
            <w:tcW w:type="dxa" w:w="2520"/>
            <w:vAlign w:val="center"/>
          </w:tcPr>
          <w:p>
            <w:r>
              <w:t>2023-02-09</w:t>
            </w:r>
          </w:p>
        </w:tc>
        <w:tc>
          <w:tcPr>
            <w:tcW w:type="dxa" w:w="2520"/>
            <w:vAlign w:val="center"/>
          </w:tcPr>
          <w:p>
            <w:r>
              <w:t>End Date</w:t>
            </w:r>
          </w:p>
        </w:tc>
        <w:tc>
          <w:tcPr>
            <w:tcW w:type="dxa" w:w="2520"/>
            <w:vAlign w:val="center"/>
          </w:tcPr>
          <w:p>
            <w:r>
              <w:t>2024-03-09</w:t>
            </w:r>
          </w:p>
        </w:tc>
      </w:tr>
      <w:tr>
        <w:tc>
          <w:tcPr>
            <w:tcW w:type="dxa" w:w="2520"/>
            <w:vAlign w:val="center"/>
          </w:tcPr>
          <w:p>
            <w:r>
              <w:t>Contract Value</w:t>
            </w:r>
          </w:p>
        </w:tc>
        <w:tc>
          <w:tcPr>
            <w:tcW w:type="dxa" w:w="2520"/>
            <w:vAlign w:val="center"/>
          </w:tcPr>
          <w:p>
            <w:r>
              <w:t>R698,000.00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Finance</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independent advisory, audit, compliance, or readiness-assessment services.</w:t>
      </w:r>
    </w:p>
    <w:p>
      <w:pPr>
        <w:pStyle w:val="Heading1"/>
      </w:pPr>
      <w:r>
        <w:t>4. Scope of Work / Funding Conditions</w:t>
      </w:r>
    </w:p>
    <w:p>
      <w:pPr>
        <w:pStyle w:val="ListBullet"/>
      </w:pPr>
      <w:r>
        <w:t>Deliver the agreed internal audit services agreement outputs in accordance with approved written instructions and this mock agreement.</w:t>
      </w:r>
    </w:p>
    <w:p>
      <w:pPr>
        <w:pStyle w:val="ListBullet"/>
      </w:pPr>
      <w:r>
        <w:t>Submit monthly or milestone reports to the Finance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R698,000.00.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Independence and Evidence</w:t>
      </w:r>
    </w:p>
    <w:p>
      <w:r>
        <w:t>The provider must maintain independence, document assumptions, retain working papers, and clearly identify limitations in findings and recommendations.</w:t>
      </w:r>
    </w:p>
    <w:p>
      <w:pPr>
        <w:pStyle w:val="Heading2"/>
      </w:pPr>
      <w:r>
        <w:t>Regulatory Change Support</w:t>
      </w:r>
    </w:p>
    <w:p>
      <w:r>
        <w:t>Where regulations or supervisory expectations change, the provider must notify the principal of material impacts within the scope of the engagement.</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2023-02-09 and ends on 2024-03-09,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Karoo Asset Finance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Contracts/2023/Compliance and Audit/Karoo Asset Finance (Pty) Ltd/Signed Documents/UCLG-COM-2023-007 - Internal Audit Services Agreement - Karoo_Asset_Finance_Pty_Ltd.docx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Services Agreement</dc:title>
  <dc:subject>Mock Compliance and Audit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