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0"/>
        </w:rPr>
        <w:t>COMMUNITY IMPACT GRANT AGREEMENT</w:t>
      </w:r>
    </w:p>
    <w:p>
      <w:pPr>
        <w:jc w:val="center"/>
      </w:pPr>
      <w:r>
        <w:rPr>
          <w:i/>
        </w:rPr>
        <w:t>Contract ID: UCLG-GRA-2025-039 | Status: Executed | Expiry: 2026-08-28 (Next 3 Months)</w:t>
      </w:r>
    </w:p>
    <w:p>
      <w:r>
        <w:rPr>
          <w:b/>
        </w:rPr>
        <w:t>IMPORTANT: Fictional mock contract for contract-management software testing only. Not legal advice and not a production legal template.</w:t>
      </w:r>
    </w:p>
    <w:p>
      <w:pPr>
        <w:pStyle w:val="Heading1"/>
      </w:pPr>
      <w:r>
        <w:t>1. Parties</w:t>
      </w:r>
    </w:p>
    <w:p>
      <w:r>
        <w:t>This mock agreement is entered into between Ubuntu Capital Loans and Grants (Pty) Ltd, registration number 2020/555321/07, a fictional South African company operating as a loans and grants organisation, and Mthatha Women in Business NPC (the Counterparty).</w:t>
      </w:r>
    </w:p>
    <w:p>
      <w:pPr>
        <w:pStyle w:val="Heading1"/>
      </w:pPr>
      <w:r>
        <w:t>2. Contract Summary</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D9EAF7"/>
            <w:vAlign w:val="center"/>
          </w:tcPr>
          <w:p>
            <w:r>
              <w:t>Field</w:t>
            </w:r>
          </w:p>
        </w:tc>
        <w:tc>
          <w:tcPr>
            <w:tcW w:type="dxa" w:w="2520"/>
            <w:shd w:fill="D9EAF7"/>
            <w:vAlign w:val="center"/>
          </w:tcPr>
          <w:p>
            <w:r>
              <w:t>Value</w:t>
            </w:r>
          </w:p>
        </w:tc>
        <w:tc>
          <w:tcPr>
            <w:tcW w:type="dxa" w:w="2520"/>
            <w:shd w:fill="D9EAF7"/>
            <w:vAlign w:val="center"/>
          </w:tcPr>
          <w:p>
            <w:r>
              <w:t>Field</w:t>
            </w:r>
          </w:p>
        </w:tc>
        <w:tc>
          <w:tcPr>
            <w:tcW w:type="dxa" w:w="2520"/>
            <w:shd w:fill="D9EAF7"/>
            <w:vAlign w:val="center"/>
          </w:tcPr>
          <w:p>
            <w:r>
              <w:t>Value</w:t>
            </w:r>
          </w:p>
        </w:tc>
      </w:tr>
      <w:tr>
        <w:tc>
          <w:tcPr>
            <w:tcW w:type="dxa" w:w="2520"/>
            <w:vAlign w:val="center"/>
          </w:tcPr>
          <w:p>
            <w:r>
              <w:t>Principal</w:t>
            </w:r>
          </w:p>
        </w:tc>
        <w:tc>
          <w:tcPr>
            <w:tcW w:type="dxa" w:w="2520"/>
            <w:vAlign w:val="center"/>
          </w:tcPr>
          <w:p>
            <w:r>
              <w:t>Ubuntu Capital Loans and Grants (Pty) Ltd</w:t>
            </w:r>
          </w:p>
        </w:tc>
        <w:tc>
          <w:tcPr>
            <w:tcW w:type="dxa" w:w="2520"/>
            <w:vAlign w:val="center"/>
          </w:tcPr>
          <w:p>
            <w:r>
              <w:t>Counterparty</w:t>
            </w:r>
          </w:p>
        </w:tc>
        <w:tc>
          <w:tcPr>
            <w:tcW w:type="dxa" w:w="2520"/>
            <w:vAlign w:val="center"/>
          </w:tcPr>
          <w:p>
            <w:r>
              <w:t>Mthatha Women in Business NPC</w:t>
            </w:r>
          </w:p>
        </w:tc>
      </w:tr>
      <w:tr>
        <w:tc>
          <w:tcPr>
            <w:tcW w:type="dxa" w:w="2520"/>
            <w:vAlign w:val="center"/>
          </w:tcPr>
          <w:p>
            <w:r>
              <w:t>Category</w:t>
            </w:r>
          </w:p>
        </w:tc>
        <w:tc>
          <w:tcPr>
            <w:tcW w:type="dxa" w:w="2520"/>
            <w:vAlign w:val="center"/>
          </w:tcPr>
          <w:p>
            <w:r>
              <w:t>Grant Agreements</w:t>
            </w:r>
          </w:p>
        </w:tc>
        <w:tc>
          <w:tcPr>
            <w:tcW w:type="dxa" w:w="2520"/>
            <w:vAlign w:val="center"/>
          </w:tcPr>
          <w:p>
            <w:r>
              <w:t>Document Type</w:t>
            </w:r>
          </w:p>
        </w:tc>
        <w:tc>
          <w:tcPr>
            <w:tcW w:type="dxa" w:w="2520"/>
            <w:vAlign w:val="center"/>
          </w:tcPr>
          <w:p>
            <w:r>
              <w:t>Community Impact Grant Agreement</w:t>
            </w:r>
          </w:p>
        </w:tc>
      </w:tr>
      <w:tr>
        <w:tc>
          <w:tcPr>
            <w:tcW w:type="dxa" w:w="2520"/>
            <w:vAlign w:val="center"/>
          </w:tcPr>
          <w:p>
            <w:r>
              <w:t>Start Date</w:t>
            </w:r>
          </w:p>
        </w:tc>
        <w:tc>
          <w:tcPr>
            <w:tcW w:type="dxa" w:w="2520"/>
            <w:vAlign w:val="center"/>
          </w:tcPr>
          <w:p>
            <w:r>
              <w:t>2025-07-25</w:t>
            </w:r>
          </w:p>
        </w:tc>
        <w:tc>
          <w:tcPr>
            <w:tcW w:type="dxa" w:w="2520"/>
            <w:vAlign w:val="center"/>
          </w:tcPr>
          <w:p>
            <w:r>
              <w:t>End Date</w:t>
            </w:r>
          </w:p>
        </w:tc>
        <w:tc>
          <w:tcPr>
            <w:tcW w:type="dxa" w:w="2520"/>
            <w:vAlign w:val="center"/>
          </w:tcPr>
          <w:p>
            <w:r>
              <w:t>2026-08-28</w:t>
            </w:r>
          </w:p>
        </w:tc>
      </w:tr>
      <w:tr>
        <w:tc>
          <w:tcPr>
            <w:tcW w:type="dxa" w:w="2520"/>
            <w:vAlign w:val="center"/>
          </w:tcPr>
          <w:p>
            <w:r>
              <w:t>Contract Value</w:t>
            </w:r>
          </w:p>
        </w:tc>
        <w:tc>
          <w:tcPr>
            <w:tcW w:type="dxa" w:w="2520"/>
            <w:vAlign w:val="center"/>
          </w:tcPr>
          <w:p>
            <w:r>
              <w:t>R4,853,000.00</w:t>
            </w:r>
          </w:p>
        </w:tc>
        <w:tc>
          <w:tcPr>
            <w:tcW w:type="dxa" w:w="2520"/>
            <w:vAlign w:val="center"/>
          </w:tcPr>
          <w:p>
            <w:r>
              <w:t>Payment Terms</w:t>
            </w:r>
          </w:p>
        </w:tc>
        <w:tc>
          <w:tcPr>
            <w:tcW w:type="dxa" w:w="2520"/>
            <w:vAlign w:val="center"/>
          </w:tcPr>
          <w:p>
            <w:r>
              <w:t>once-off on acceptance</w:t>
            </w:r>
          </w:p>
        </w:tc>
      </w:tr>
      <w:tr>
        <w:tc>
          <w:tcPr>
            <w:tcW w:type="dxa" w:w="2520"/>
            <w:vAlign w:val="center"/>
          </w:tcPr>
          <w:p>
            <w:r>
              <w:t>Department</w:t>
            </w:r>
          </w:p>
        </w:tc>
        <w:tc>
          <w:tcPr>
            <w:tcW w:type="dxa" w:w="2520"/>
            <w:vAlign w:val="center"/>
          </w:tcPr>
          <w:p>
            <w:r>
              <w:t>Operations</w:t>
            </w:r>
          </w:p>
        </w:tc>
        <w:tc>
          <w:tcPr>
            <w:tcW w:type="dxa" w:w="2520"/>
            <w:vAlign w:val="center"/>
          </w:tcPr>
          <w:p>
            <w:r>
              <w:t>Contract Owner</w:t>
            </w:r>
          </w:p>
        </w:tc>
        <w:tc>
          <w:tcPr>
            <w:tcW w:type="dxa" w:w="2520"/>
            <w:vAlign w:val="center"/>
          </w:tcPr>
          <w:p>
            <w:r>
              <w:t>Michael Naidoo</w:t>
            </w:r>
          </w:p>
        </w:tc>
      </w:tr>
      <w:tr>
        <w:tc>
          <w:tcPr>
            <w:tcW w:type="dxa" w:w="2520"/>
            <w:vAlign w:val="center"/>
          </w:tcPr>
          <w:p>
            <w:r>
              <w:t>NCR Reference</w:t>
            </w:r>
          </w:p>
        </w:tc>
        <w:tc>
          <w:tcPr>
            <w:tcW w:type="dxa" w:w="2520"/>
            <w:vAlign w:val="center"/>
          </w:tcPr>
          <w:p>
            <w:r>
              <w:t>NCRCP999999 (fictional)</w:t>
            </w:r>
          </w:p>
        </w:tc>
        <w:tc>
          <w:tcPr>
            <w:tcW w:type="dxa" w:w="2520"/>
            <w:vAlign w:val="center"/>
          </w:tcPr>
          <w:p>
            <w:r>
              <w:t>Governing Law</w:t>
            </w:r>
          </w:p>
        </w:tc>
        <w:tc>
          <w:tcPr>
            <w:tcW w:type="dxa" w:w="2520"/>
            <w:vAlign w:val="center"/>
          </w:tcPr>
          <w:p>
            <w:r>
              <w:t>South Africa</w:t>
            </w:r>
          </w:p>
        </w:tc>
      </w:tr>
    </w:tbl>
    <w:p>
      <w:pPr>
        <w:pStyle w:val="Heading1"/>
      </w:pPr>
      <w:r>
        <w:t>3. Background and Purpose</w:t>
      </w:r>
    </w:p>
    <w:p>
      <w:r>
        <w:t>The principal provides conditional grant funding for approved enterprise development, community impact, or beneficiary-support activities.</w:t>
      </w:r>
    </w:p>
    <w:p>
      <w:pPr>
        <w:pStyle w:val="Heading1"/>
      </w:pPr>
      <w:r>
        <w:t>4. Scope of Work / Funding Conditions</w:t>
      </w:r>
    </w:p>
    <w:p>
      <w:pPr>
        <w:pStyle w:val="ListBullet"/>
      </w:pPr>
      <w:r>
        <w:t>Deliver the agreed community impact grant agreement outputs in accordance with approved written instructions and this mock agreement.</w:t>
      </w:r>
    </w:p>
    <w:p>
      <w:pPr>
        <w:pStyle w:val="ListBullet"/>
      </w:pPr>
      <w:r>
        <w:t>Submit monthly or milestone reports to the Operations department, including progress, risks, invoices, and supporting evidence.</w:t>
      </w:r>
    </w:p>
    <w:p>
      <w:pPr>
        <w:pStyle w:val="ListBullet"/>
      </w:pPr>
      <w:r>
        <w:t>Notify the principal promptly of delays, incidents, data events, conflicts of interest, or compliance concerns.</w:t>
      </w:r>
    </w:p>
    <w:p>
      <w:pPr>
        <w:pStyle w:val="ListBullet"/>
      </w:pPr>
      <w:r>
        <w:t>Cooperate with onboarding, supplier due diligence, beneficiary verification, and internal audit requests that are reasonable and lawful.</w:t>
      </w:r>
    </w:p>
    <w:p>
      <w:pPr>
        <w:pStyle w:val="Heading1"/>
      </w:pPr>
      <w:r>
        <w:t>5. Commercial Terms</w:t>
      </w:r>
    </w:p>
    <w:p>
      <w:r>
        <w:t>The total mock contract value is R4,853,000.00. Payment is once-off on acceptance, subject to receipt of a valid tax invoice where applicable, approved deliverables, and internal payment controls. No amount is payable for unauthorised work outside the agreed scope.</w:t>
      </w:r>
    </w:p>
    <w:p>
      <w:pPr>
        <w:pStyle w:val="Heading1"/>
      </w:pPr>
      <w:r>
        <w:t>6. Legal and Compliance Clauses</w:t>
      </w:r>
    </w:p>
    <w:p>
      <w:pPr>
        <w:pStyle w:val="Heading2"/>
      </w:pPr>
      <w:r>
        <w:t>Grant Purpose and Milestones</w:t>
      </w:r>
    </w:p>
    <w:p>
      <w:r>
        <w:t>Funds must be used only for approved grant activities. Milestone evidence, beneficiary reports, invoices, and impact records must be submitted before later tranches are released.</w:t>
      </w:r>
    </w:p>
    <w:p>
      <w:pPr>
        <w:pStyle w:val="Heading2"/>
      </w:pPr>
      <w:r>
        <w:t>Clawback and Misuse</w:t>
      </w:r>
    </w:p>
    <w:p>
      <w:r>
        <w:t>The principal may require repayment of unused or misapplied grant funds if records show material misuse, fraud, or failure to meet agreed grant conditions.</w:t>
      </w:r>
    </w:p>
    <w:p>
      <w:pPr>
        <w:pStyle w:val="Heading2"/>
      </w:pPr>
      <w:r>
        <w:t>South African Law and Jurisdiction</w:t>
      </w:r>
    </w:p>
    <w:p>
      <w:r>
        <w:t>This mock agreement is governed by the laws of the Republic of South Africa. The parties submit to the jurisdiction of the competent South African courts, without preventing either party from seeking urgent interim relief where appropriate.</w:t>
      </w:r>
    </w:p>
    <w:p>
      <w:pPr>
        <w:pStyle w:val="Heading2"/>
      </w:pPr>
      <w:r>
        <w:t>POPIA and Confidentiality</w:t>
      </w:r>
    </w:p>
    <w:p>
      <w:r>
        <w:t>Each party must process personal information lawfully, only for legitimate contract purposes, and with reasonable technical and organisational safeguards. Personal information may not be sold, disclosed, or retained beyond the lawful purpose unless a recognised legal basis applies.</w:t>
      </w:r>
    </w:p>
    <w:p>
      <w:pPr>
        <w:pStyle w:val="Heading2"/>
      </w:pPr>
      <w:r>
        <w:t>FIC Act and Verification Records</w:t>
      </w:r>
    </w:p>
    <w:p>
      <w:r>
        <w:t>Where the services involve lending, grants, recoveries, onboarding, payment processing, or financial records, the parties must support lawful customer due diligence, beneficial ownership checks, sanctions screening, and record retention requirements applicable to the principal.</w:t>
      </w:r>
    </w:p>
    <w:p>
      <w:pPr>
        <w:pStyle w:val="Heading2"/>
      </w:pPr>
      <w:r>
        <w:t>Anti-Bribery, Corruption and Sanctions</w:t>
      </w:r>
    </w:p>
    <w:p>
      <w:r>
        <w:t>The parties must not offer, request, accept, or facilitate improper benefits. The counterparty warrants that it is not knowingly subject to applicable sanctions and will notify the principal of any material compliance concern.</w:t>
      </w:r>
    </w:p>
    <w:p>
      <w:pPr>
        <w:pStyle w:val="Heading2"/>
      </w:pPr>
      <w:r>
        <w:t>Electronic Communications and Signatures</w:t>
      </w:r>
    </w:p>
    <w:p>
      <w:r>
        <w:t>The parties agree that notices, approvals, task records, and signatures may be exchanged electronically where legally permissible. A signed PDF or platform-generated audit trail may be used as evidence of acceptance.</w:t>
      </w:r>
    </w:p>
    <w:p>
      <w:pPr>
        <w:pStyle w:val="Heading2"/>
      </w:pPr>
      <w:r>
        <w:t>Records, Audit and Reporting</w:t>
      </w:r>
    </w:p>
    <w:p>
      <w:r>
        <w:t>The counterparty must keep accurate records relating to performance, invoices, deliverables, payments, beneficiaries, and service outcomes. The principal may request reasonable audit evidence on notice.</w:t>
      </w:r>
    </w:p>
    <w:p>
      <w:pPr>
        <w:pStyle w:val="Heading2"/>
      </w:pPr>
      <w:r>
        <w:t>Breach and Remediation</w:t>
      </w:r>
    </w:p>
    <w:p>
      <w:r>
        <w:t>If a party materially breaches this agreement and fails to remedy the breach within the stated cure period after written notice, the non-defaulting party may suspend obligations, cancel the agreement, or claim permitted damages.</w:t>
      </w:r>
    </w:p>
    <w:p>
      <w:pPr>
        <w:pStyle w:val="Heading2"/>
      </w:pPr>
      <w:r>
        <w:t>Mock Document Notice</w:t>
      </w:r>
    </w:p>
    <w:p>
      <w:r>
        <w:t>This document is fictional, created for software-development testing, and must not be used as legal advice or as a production contract without review by qualified South African legal practitioners.</w:t>
      </w:r>
    </w:p>
    <w:p>
      <w:pPr>
        <w:pStyle w:val="Heading1"/>
      </w:pPr>
      <w:r>
        <w:t>7. Expiry, Renewal and Exit</w:t>
      </w:r>
    </w:p>
    <w:p>
      <w:r>
        <w:t>This mock agreement starts on 2025-07-25 and ends on 2026-08-28, unless terminated earlier in accordance with its terms. The system should classify this agreement as 'Next 3 Months' as at 2026-05-11.</w:t>
      </w:r>
    </w:p>
    <w:p>
      <w:r>
        <w:t>On expiry or termination, each party must return or securely destroy confidential information, settle approved outstanding amounts, complete handover activities, and preserve records that must be retained by law or internal policy.</w:t>
      </w:r>
    </w:p>
    <w:p>
      <w:pPr>
        <w:pStyle w:val="Heading1"/>
      </w:pPr>
      <w:r>
        <w:t>8. Signature Block</w:t>
      </w:r>
    </w:p>
    <w:tbl>
      <w:tblPr>
        <w:tblStyle w:val="TableGrid"/>
        <w:tblW w:type="auto" w:w="0"/>
        <w:jc w:val="center"/>
        <w:tblLook w:firstColumn="1" w:firstRow="1" w:lastColumn="0" w:lastRow="0" w:noHBand="0" w:noVBand="1" w:val="04A0"/>
      </w:tblPr>
      <w:tblGrid>
        <w:gridCol w:w="5040"/>
        <w:gridCol w:w="5040"/>
      </w:tblGrid>
      <w:tr>
        <w:tc>
          <w:tcPr>
            <w:tcW w:type="dxa" w:w="5040"/>
            <w:shd w:fill="E2F0D9"/>
          </w:tcPr>
          <w:p>
            <w:r>
              <w:t>For Ubuntu Capital Loans and Grants (Pty) Ltd</w:t>
            </w:r>
          </w:p>
        </w:tc>
        <w:tc>
          <w:tcPr>
            <w:tcW w:type="dxa" w:w="5040"/>
            <w:shd w:fill="E2F0D9"/>
          </w:tcPr>
          <w:p>
            <w:r>
              <w:t>For Mthatha Women in Business NPC</w:t>
            </w:r>
          </w:p>
        </w:tc>
      </w:tr>
      <w:tr>
        <w:tc>
          <w:tcPr>
            <w:tcW w:type="dxa" w:w="5040"/>
          </w:tcPr>
          <w:p>
            <w:r>
              <w:t>Name: ______________________</w:t>
              <w:br/>
              <w:t>Title: _______________________</w:t>
              <w:br/>
              <w:t>Date: _______________________</w:t>
            </w:r>
          </w:p>
        </w:tc>
        <w:tc>
          <w:tcPr>
            <w:tcW w:type="dxa" w:w="5040"/>
          </w:tcPr>
          <w:p>
            <w:r>
              <w:t>Name: ______________________</w:t>
              <w:br/>
              <w:t>Title: _______________________</w:t>
              <w:br/>
              <w:t>Date: _______________________</w:t>
            </w:r>
          </w:p>
        </w:tc>
      </w:tr>
      <w:tr>
        <w:tc>
          <w:tcPr>
            <w:tcW w:type="dxa" w:w="5040"/>
          </w:tcPr>
          <w:p>
            <w:r>
              <w:t>Electronic signature accepted where legally permissible.</w:t>
            </w:r>
          </w:p>
        </w:tc>
        <w:tc>
          <w:tcPr>
            <w:tcW w:type="dxa" w:w="5040"/>
          </w:tcPr>
          <w:p>
            <w:r>
              <w:t>Electronic signature accepted where legally permissible.</w:t>
            </w:r>
          </w:p>
        </w:tc>
      </w:tr>
    </w:tbl>
    <w:p>
      <w:r>
        <w:t>Repository path: Contracts/2025/Grant Agreements/Mthatha Women in Business NPC/Signed Documents/UCLG-GRA-2025-039 - Community Impact Grant Agreement - Mthatha_Women_in_Business_NPC.docx</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Confidential mock document - not legal advice - generated for contract-management system testing.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Ubuntu Capital Loans and Grants (Pty) Ltd | Mock Contract Repository | Software Testing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22222"/>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6363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Community Impact Grant Agreement</dc:title>
  <dc:subject>Mock Grant Agreements contract for testing</dc:subject>
  <dc:creator>OpenAI Mock Data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