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INTERNAL AUDIT SERVICES AGREEMENT</w:t>
      </w:r>
    </w:p>
    <w:p>
      <w:pPr>
        <w:jc w:val="center"/>
      </w:pPr>
      <w:r>
        <w:rPr>
          <w:i/>
        </w:rPr>
        <w:t>Contract ID: UCLG-COM-2025-019 | Status: Under Review | Expiry: 2026-06-10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Blue Crane Implementation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Blue Crane Implementation Services (Pty) Ltd</w:t>
            </w:r>
          </w:p>
        </w:tc>
      </w:tr>
      <w:tr>
        <w:tc>
          <w:tcPr>
            <w:tcW w:type="dxa" w:w="2520"/>
            <w:vAlign w:val="center"/>
          </w:tcPr>
          <w:p>
            <w:r>
              <w:t>Category</w:t>
            </w:r>
          </w:p>
        </w:tc>
        <w:tc>
          <w:tcPr>
            <w:tcW w:type="dxa" w:w="2520"/>
            <w:vAlign w:val="center"/>
          </w:tcPr>
          <w:p>
            <w:r>
              <w:t>Compliance and Audit</w:t>
            </w:r>
          </w:p>
        </w:tc>
        <w:tc>
          <w:tcPr>
            <w:tcW w:type="dxa" w:w="2520"/>
            <w:vAlign w:val="center"/>
          </w:tcPr>
          <w:p>
            <w:r>
              <w:t>Document Type</w:t>
            </w:r>
          </w:p>
        </w:tc>
        <w:tc>
          <w:tcPr>
            <w:tcW w:type="dxa" w:w="2520"/>
            <w:vAlign w:val="center"/>
          </w:tcPr>
          <w:p>
            <w:r>
              <w:t>Internal Audit Services Agreement</w:t>
            </w:r>
          </w:p>
        </w:tc>
      </w:tr>
      <w:tr>
        <w:tc>
          <w:tcPr>
            <w:tcW w:type="dxa" w:w="2520"/>
            <w:vAlign w:val="center"/>
          </w:tcPr>
          <w:p>
            <w:r>
              <w:t>Start Date</w:t>
            </w:r>
          </w:p>
        </w:tc>
        <w:tc>
          <w:tcPr>
            <w:tcW w:type="dxa" w:w="2520"/>
            <w:vAlign w:val="center"/>
          </w:tcPr>
          <w:p>
            <w:r>
              <w:t>2025-10-19</w:t>
            </w:r>
          </w:p>
        </w:tc>
        <w:tc>
          <w:tcPr>
            <w:tcW w:type="dxa" w:w="2520"/>
            <w:vAlign w:val="center"/>
          </w:tcPr>
          <w:p>
            <w:r>
              <w:t>End Date</w:t>
            </w:r>
          </w:p>
        </w:tc>
        <w:tc>
          <w:tcPr>
            <w:tcW w:type="dxa" w:w="2520"/>
            <w:vAlign w:val="center"/>
          </w:tcPr>
          <w:p>
            <w:r>
              <w:t>2026-06-10</w:t>
            </w:r>
          </w:p>
        </w:tc>
      </w:tr>
      <w:tr>
        <w:tc>
          <w:tcPr>
            <w:tcW w:type="dxa" w:w="2520"/>
            <w:vAlign w:val="center"/>
          </w:tcPr>
          <w:p>
            <w:r>
              <w:t>Contract Value</w:t>
            </w:r>
          </w:p>
        </w:tc>
        <w:tc>
          <w:tcPr>
            <w:tcW w:type="dxa" w:w="2520"/>
            <w:vAlign w:val="center"/>
          </w:tcPr>
          <w:p>
            <w:r>
              <w:t>R388,000.00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independent advisory, audit, compliance, or readiness-assessment services.</w:t>
      </w:r>
    </w:p>
    <w:p>
      <w:pPr>
        <w:pStyle w:val="Heading1"/>
      </w:pPr>
      <w:r>
        <w:t>4. Scope of Work / Funding Conditions</w:t>
      </w:r>
    </w:p>
    <w:p>
      <w:pPr>
        <w:pStyle w:val="ListBullet"/>
      </w:pPr>
      <w:r>
        <w:t>Deliver the agreed internal audit services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R388,000.00.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Independence and Evidence</w:t>
      </w:r>
    </w:p>
    <w:p>
      <w:r>
        <w:t>The provider must maintain independence, document assumptions, retain working papers, and clearly identify limitations in findings and recommendations.</w:t>
      </w:r>
    </w:p>
    <w:p>
      <w:pPr>
        <w:pStyle w:val="Heading2"/>
      </w:pPr>
      <w:r>
        <w:t>Regulatory Change Support</w:t>
      </w:r>
    </w:p>
    <w:p>
      <w:r>
        <w:t>Where regulations or supervisory expectations change, the provider must notify the principal of material impacts within the scope of the engagement.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2025-10-19 and ends on 2026-06-10,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Blue Crane Implementation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Contracts/2025/Compliance and Audit/Blue Crane Implementation Services (Pty) Ltd/Final/UCLG-COM-2025-019 - Internal Audit Services Agreement - Blue_Crane_Implementation_Services_Pty_Ltd.docx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Services Agreement</dc:title>
  <dc:subject>Mock Compliance and Audit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