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BUSINESS CONTINUITY SERVICES AGREEMENT</w:t>
      </w:r>
    </w:p>
    <w:p>
      <w:pPr>
        <w:jc w:val="center"/>
      </w:pPr>
      <w:r>
        <w:rPr>
          <w:i/>
        </w:rPr>
        <w:t>Contract ID: UCLG-INS-2025-036 | Status: Draft | Expiry: 2026-08-12 (Next 3 Months)</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Sentinel Risk Advisory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Sentinel Risk Advisory (Pty) Ltd</w:t>
            </w:r>
          </w:p>
        </w:tc>
      </w:tr>
      <w:tr>
        <w:tc>
          <w:tcPr>
            <w:tcW w:type="dxa" w:w="2520"/>
            <w:vAlign w:val="center"/>
          </w:tcPr>
          <w:p>
            <w:r>
              <w:t>Category</w:t>
            </w:r>
          </w:p>
        </w:tc>
        <w:tc>
          <w:tcPr>
            <w:tcW w:type="dxa" w:w="2520"/>
            <w:vAlign w:val="center"/>
          </w:tcPr>
          <w:p>
            <w:r>
              <w:t>Insurance and Risk</w:t>
            </w:r>
          </w:p>
        </w:tc>
        <w:tc>
          <w:tcPr>
            <w:tcW w:type="dxa" w:w="2520"/>
            <w:vAlign w:val="center"/>
          </w:tcPr>
          <w:p>
            <w:r>
              <w:t>Document Type</w:t>
            </w:r>
          </w:p>
        </w:tc>
        <w:tc>
          <w:tcPr>
            <w:tcW w:type="dxa" w:w="2520"/>
            <w:vAlign w:val="center"/>
          </w:tcPr>
          <w:p>
            <w:r>
              <w:t>Business Continuity Services Agreement</w:t>
            </w:r>
          </w:p>
        </w:tc>
      </w:tr>
      <w:tr>
        <w:tc>
          <w:tcPr>
            <w:tcW w:type="dxa" w:w="2520"/>
            <w:vAlign w:val="center"/>
          </w:tcPr>
          <w:p>
            <w:r>
              <w:t>Start Date</w:t>
            </w:r>
          </w:p>
        </w:tc>
        <w:tc>
          <w:tcPr>
            <w:tcW w:type="dxa" w:w="2520"/>
            <w:vAlign w:val="center"/>
          </w:tcPr>
          <w:p>
            <w:r>
              <w:t>2025-03-18</w:t>
            </w:r>
          </w:p>
        </w:tc>
        <w:tc>
          <w:tcPr>
            <w:tcW w:type="dxa" w:w="2520"/>
            <w:vAlign w:val="center"/>
          </w:tcPr>
          <w:p>
            <w:r>
              <w:t>End Date</w:t>
            </w:r>
          </w:p>
        </w:tc>
        <w:tc>
          <w:tcPr>
            <w:tcW w:type="dxa" w:w="2520"/>
            <w:vAlign w:val="center"/>
          </w:tcPr>
          <w:p>
            <w:r>
              <w:t>2026-08-12</w:t>
            </w:r>
          </w:p>
        </w:tc>
      </w:tr>
      <w:tr>
        <w:tc>
          <w:tcPr>
            <w:tcW w:type="dxa" w:w="2520"/>
            <w:vAlign w:val="center"/>
          </w:tcPr>
          <w:p>
            <w:r>
              <w:t>Contract Value</w:t>
            </w:r>
          </w:p>
        </w:tc>
        <w:tc>
          <w:tcPr>
            <w:tcW w:type="dxa" w:w="2520"/>
            <w:vAlign w:val="center"/>
          </w:tcPr>
          <w:p>
            <w:r>
              <w:t>R302,000.00</w:t>
            </w:r>
          </w:p>
        </w:tc>
        <w:tc>
          <w:tcPr>
            <w:tcW w:type="dxa" w:w="2520"/>
            <w:vAlign w:val="center"/>
          </w:tcPr>
          <w:p>
            <w:r>
              <w:t>Payment Terms</w:t>
            </w:r>
          </w:p>
        </w:tc>
        <w:tc>
          <w:tcPr>
            <w:tcW w:type="dxa" w:w="2520"/>
            <w:vAlign w:val="center"/>
          </w:tcPr>
          <w:p>
            <w:r>
              <w:t>monthly in arrears</w:t>
            </w:r>
          </w:p>
        </w:tc>
      </w:tr>
      <w:tr>
        <w:tc>
          <w:tcPr>
            <w:tcW w:type="dxa" w:w="2520"/>
            <w:vAlign w:val="center"/>
          </w:tcPr>
          <w:p>
            <w:r>
              <w:t>Department</w:t>
            </w:r>
          </w:p>
        </w:tc>
        <w:tc>
          <w:tcPr>
            <w:tcW w:type="dxa" w:w="2520"/>
            <w:vAlign w:val="center"/>
          </w:tcPr>
          <w:p>
            <w:r>
              <w:t>Finance</w:t>
            </w:r>
          </w:p>
        </w:tc>
        <w:tc>
          <w:tcPr>
            <w:tcW w:type="dxa" w:w="2520"/>
            <w:vAlign w:val="center"/>
          </w:tcPr>
          <w:p>
            <w:r>
              <w:t>Contract Owner</w:t>
            </w:r>
          </w:p>
        </w:tc>
        <w:tc>
          <w:tcPr>
            <w:tcW w:type="dxa" w:w="2520"/>
            <w:vAlign w:val="center"/>
          </w:tcPr>
          <w:p>
            <w:r>
              <w:t>Michael Naidoo</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advisory, intermediary, risk, insurance, or business continuity support.</w:t>
      </w:r>
    </w:p>
    <w:p>
      <w:pPr>
        <w:pStyle w:val="Heading1"/>
      </w:pPr>
      <w:r>
        <w:t>4. Scope of Work / Funding Conditions</w:t>
      </w:r>
    </w:p>
    <w:p>
      <w:pPr>
        <w:pStyle w:val="ListBullet"/>
      </w:pPr>
      <w:r>
        <w:t>Deliver the agreed business continuity services agreement outputs in accordance with approved written instructions and this mock agreement.</w:t>
      </w:r>
    </w:p>
    <w:p>
      <w:pPr>
        <w:pStyle w:val="ListBullet"/>
      </w:pPr>
      <w:r>
        <w:t>Submit monthly or milestone reports to the Finance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R302,000.00. Payment is monthly in arrears,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Advice Limitations</w:t>
      </w:r>
    </w:p>
    <w:p>
      <w:r>
        <w:t>The provider must distinguish between advisory support, intermediary activity, and final commercial decisions made by the principal.</w:t>
      </w:r>
    </w:p>
    <w:p>
      <w:pPr>
        <w:pStyle w:val="Heading2"/>
      </w:pPr>
      <w:r>
        <w:t>Risk Reporting</w:t>
      </w:r>
    </w:p>
    <w:p>
      <w:r>
        <w:t>Reports must identify assumptions, exclusions, residual risks, and recommended controls in a clear management-readable format.</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2025-03-18 and ends on 2026-08-12, unless terminated earlier in accordance with its terms. The system should classify this agreement as 'Next 3 Months'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Sentinel Risk Advisory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Contracts/2025/Insurance and Risk/Sentinel Risk Advisory (Pty) Ltd/Drafts/UCLG-INS-2025-036 - Business Continuity Services Agreement - Sentinel_Risk_Advisory_Pty_Ltd.docx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Continuity Services Agreement</dc:title>
  <dc:subject>Mock Insurance and Risk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