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8D2BE" w14:textId="6CAF1F70" w:rsidR="003F01D8" w:rsidRPr="003F01D8" w:rsidRDefault="000702E1" w:rsidP="003F01D8">
      <w:pPr>
        <w:pStyle w:val="Citationintense"/>
        <w:rPr>
          <w:b/>
          <w:bCs/>
          <w:lang w:val="fr-FR"/>
        </w:rPr>
      </w:pPr>
      <w:r>
        <w:rPr>
          <w:b/>
          <w:bCs/>
          <w:noProof/>
          <w:lang w:val="fr-FR"/>
        </w:rPr>
        <w:drawing>
          <wp:anchor distT="0" distB="0" distL="114300" distR="114300" simplePos="0" relativeHeight="251660288" behindDoc="0" locked="0" layoutInCell="1" allowOverlap="1" wp14:anchorId="15560EBE" wp14:editId="60B3CF13">
            <wp:simplePos x="0" y="0"/>
            <wp:positionH relativeFrom="column">
              <wp:posOffset>5121405</wp:posOffset>
            </wp:positionH>
            <wp:positionV relativeFrom="paragraph">
              <wp:posOffset>-734695</wp:posOffset>
            </wp:positionV>
            <wp:extent cx="1220975" cy="926934"/>
            <wp:effectExtent l="0" t="0" r="0" b="698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30097" cy="933860"/>
                    </a:xfrm>
                    <a:prstGeom prst="rect">
                      <a:avLst/>
                    </a:prstGeom>
                  </pic:spPr>
                </pic:pic>
              </a:graphicData>
            </a:graphic>
            <wp14:sizeRelH relativeFrom="margin">
              <wp14:pctWidth>0</wp14:pctWidth>
            </wp14:sizeRelH>
            <wp14:sizeRelV relativeFrom="margin">
              <wp14:pctHeight>0</wp14:pctHeight>
            </wp14:sizeRelV>
          </wp:anchor>
        </w:drawing>
      </w:r>
      <w:r w:rsidR="003F01D8" w:rsidRPr="003F01D8">
        <w:rPr>
          <w:b/>
          <w:bCs/>
          <w:lang w:val="fr-FR"/>
        </w:rPr>
        <w:t>L’EPIDEMIE A VIH ENTRE 1990- 2025 ET RECOMMANDATIONS STRATEGIQUES</w:t>
      </w:r>
    </w:p>
    <w:p w14:paraId="55A43C43" w14:textId="1C031FCB" w:rsidR="003F01D8" w:rsidRDefault="00F26490" w:rsidP="003F01D8">
      <w:pPr>
        <w:spacing w:line="240" w:lineRule="auto"/>
      </w:pPr>
      <w:r>
        <w:t>Évolution</w:t>
      </w:r>
      <w:r w:rsidR="003F01D8">
        <w:t xml:space="preserve"> de l’épidémie à VIH en République du Congo (1990–2025) Groupe 8 </w:t>
      </w:r>
    </w:p>
    <w:p w14:paraId="1AC38327" w14:textId="585E6099" w:rsidR="003F01D8" w:rsidRDefault="003F01D8" w:rsidP="003F01D8">
      <w:pPr>
        <w:spacing w:line="240" w:lineRule="auto"/>
      </w:pPr>
      <w:r>
        <w:t xml:space="preserve">Akieni Academy · Formation Data Science · </w:t>
      </w:r>
    </w:p>
    <w:p w14:paraId="0994B5D3" w14:textId="1ADE62DE" w:rsidR="003F01D8" w:rsidRDefault="003F01D8" w:rsidP="003F01D8">
      <w:pPr>
        <w:spacing w:line="240" w:lineRule="auto"/>
      </w:pPr>
      <w:r>
        <w:t xml:space="preserve">Évaluation : Semaine 16 Membres : </w:t>
      </w:r>
      <w:r w:rsidRPr="00601D1F">
        <w:rPr>
          <w:b/>
          <w:bCs/>
        </w:rPr>
        <w:t>MALONGA MBOUITY Giversy Deliche</w:t>
      </w:r>
      <w:r>
        <w:t xml:space="preserve"> (Lead) ; </w:t>
      </w:r>
      <w:r w:rsidRPr="00601D1F">
        <w:rPr>
          <w:b/>
          <w:bCs/>
        </w:rPr>
        <w:t xml:space="preserve">M’PIKA </w:t>
      </w:r>
      <w:r w:rsidR="00601D1F" w:rsidRPr="00601D1F">
        <w:rPr>
          <w:b/>
          <w:bCs/>
        </w:rPr>
        <w:t>Emmanuelle ;</w:t>
      </w:r>
      <w:r>
        <w:t xml:space="preserve"> </w:t>
      </w:r>
      <w:r w:rsidRPr="00601D1F">
        <w:rPr>
          <w:b/>
          <w:bCs/>
        </w:rPr>
        <w:t>M’BIELO-LIBEAU Davis Junior</w:t>
      </w:r>
      <w:r>
        <w:t xml:space="preserve"> ; </w:t>
      </w:r>
      <w:r w:rsidRPr="00601D1F">
        <w:rPr>
          <w:b/>
          <w:bCs/>
        </w:rPr>
        <w:t>MANDAKA MARIMPORI Edouarda</w:t>
      </w:r>
      <w:r>
        <w:t xml:space="preserve"> ; </w:t>
      </w:r>
      <w:r w:rsidRPr="00601D1F">
        <w:rPr>
          <w:b/>
          <w:bCs/>
        </w:rPr>
        <w:t>AZIDAMA Belvine</w:t>
      </w:r>
      <w:r>
        <w:t>.</w:t>
      </w:r>
    </w:p>
    <w:p w14:paraId="4F3DBA1A" w14:textId="0E194AFE" w:rsidR="003F01D8" w:rsidRDefault="003F01D8" w:rsidP="003F01D8">
      <w:pPr>
        <w:spacing w:line="240" w:lineRule="auto"/>
      </w:pPr>
    </w:p>
    <w:p w14:paraId="402EB468" w14:textId="77777777" w:rsidR="003F01D8" w:rsidRPr="003F01D8" w:rsidRDefault="003F01D8" w:rsidP="00DA2B26">
      <w:pPr>
        <w:pStyle w:val="Titre1"/>
        <w:numPr>
          <w:ilvl w:val="0"/>
          <w:numId w:val="4"/>
        </w:numPr>
      </w:pPr>
      <w:r w:rsidRPr="003F01D8">
        <w:t>Introduction</w:t>
      </w:r>
      <w:r w:rsidRPr="003F01D8">
        <w:rPr>
          <w:rStyle w:val="Rfrencelgre"/>
        </w:rPr>
        <w:t xml:space="preserve"> </w:t>
      </w:r>
      <w:r w:rsidRPr="003F01D8">
        <w:t>et</w:t>
      </w:r>
      <w:r w:rsidRPr="003F01D8">
        <w:rPr>
          <w:rStyle w:val="Rfrencelgre"/>
        </w:rPr>
        <w:t xml:space="preserve"> </w:t>
      </w:r>
      <w:r w:rsidRPr="003F01D8">
        <w:t>contexte</w:t>
      </w:r>
      <w:r w:rsidRPr="003F01D8">
        <w:rPr>
          <w:rStyle w:val="Rfrencelgre"/>
        </w:rPr>
        <w:t xml:space="preserve"> </w:t>
      </w:r>
    </w:p>
    <w:p w14:paraId="7B5EBA0D" w14:textId="0E070EB7" w:rsidR="003F01D8" w:rsidRDefault="003F01D8" w:rsidP="003F01D8">
      <w:pPr>
        <w:spacing w:line="240" w:lineRule="auto"/>
      </w:pPr>
      <w:r>
        <w:t>Ce rapport décrit l’évolution de</w:t>
      </w:r>
      <w:r w:rsidR="00DA2B26">
        <w:t xml:space="preserve"> quelques i</w:t>
      </w:r>
      <w:r>
        <w:t>ndicateurs</w:t>
      </w:r>
      <w:r w:rsidR="00DA2B26">
        <w:t xml:space="preserve"> clés</w:t>
      </w:r>
      <w:r>
        <w:t xml:space="preserve"> d</w:t>
      </w:r>
      <w:r w:rsidR="00DA2B26">
        <w:t xml:space="preserve">e la riposte au VIH selon qu’ils </w:t>
      </w:r>
      <w:r w:rsidR="00F26490">
        <w:t>étaient</w:t>
      </w:r>
      <w:r w:rsidR="00DA2B26">
        <w:t xml:space="preserve"> </w:t>
      </w:r>
      <w:r>
        <w:t xml:space="preserve">disponibles </w:t>
      </w:r>
      <w:r w:rsidR="00DA2B26">
        <w:t xml:space="preserve">dans le dataset </w:t>
      </w:r>
      <w:r>
        <w:t>pour la République du Congo entre 1990 et 2025. Il vise à interpréter le</w:t>
      </w:r>
      <w:r w:rsidR="00DA2B26">
        <w:t xml:space="preserve"> niveau d’atteinte</w:t>
      </w:r>
      <w:r>
        <w:t xml:space="preserve"> </w:t>
      </w:r>
      <w:r w:rsidR="00DA2B26">
        <w:t xml:space="preserve">des </w:t>
      </w:r>
      <w:r w:rsidR="00F26490">
        <w:t>objectifs</w:t>
      </w:r>
      <w:r w:rsidR="00DA2B26">
        <w:t xml:space="preserve"> mondiaux d’elination de la </w:t>
      </w:r>
      <w:r w:rsidR="00F26490">
        <w:t>pandémie</w:t>
      </w:r>
      <w:r w:rsidR="00DA2B26">
        <w:t xml:space="preserve"> en se basant sur la </w:t>
      </w:r>
      <w:r w:rsidR="00F26490">
        <w:t xml:space="preserve">stratégie;  </w:t>
      </w:r>
      <w:r w:rsidR="00DA2B26">
        <w:t xml:space="preserve">  95-95-95 sur base des </w:t>
      </w:r>
      <w:r>
        <w:t>résultats de l’analyse exploratoire des données (EDA)</w:t>
      </w:r>
      <w:r w:rsidR="00DA2B26">
        <w:t xml:space="preserve"> afin d’en </w:t>
      </w:r>
      <w:r>
        <w:t>dégager des priorités d’intervention et à préciser les limites de l’analyse.</w:t>
      </w:r>
    </w:p>
    <w:p w14:paraId="5862C82B" w14:textId="60A60D62" w:rsidR="00DA2B26" w:rsidRDefault="00DA2B26" w:rsidP="003F01D8">
      <w:pPr>
        <w:spacing w:line="240" w:lineRule="auto"/>
      </w:pPr>
    </w:p>
    <w:p w14:paraId="1A525596" w14:textId="631199AC" w:rsidR="00DA2B26" w:rsidRDefault="00DA2B26" w:rsidP="00DA2B26">
      <w:pPr>
        <w:pStyle w:val="Titre1"/>
        <w:numPr>
          <w:ilvl w:val="0"/>
          <w:numId w:val="4"/>
        </w:numPr>
      </w:pPr>
      <w:r>
        <w:t xml:space="preserve">Analyse et interprétation des graphiques </w:t>
      </w:r>
    </w:p>
    <w:p w14:paraId="0F85A0D4" w14:textId="77777777" w:rsidR="00DA2B26" w:rsidRDefault="00DA2B26" w:rsidP="00DA2B26">
      <w:pPr>
        <w:pStyle w:val="Titre1"/>
      </w:pPr>
    </w:p>
    <w:p w14:paraId="0E6C499C" w14:textId="6B50A12A" w:rsidR="00DA2B26" w:rsidRDefault="00DA2B26" w:rsidP="00DA2B26">
      <w:pPr>
        <w:pStyle w:val="Paragraphedeliste"/>
        <w:numPr>
          <w:ilvl w:val="0"/>
          <w:numId w:val="2"/>
        </w:numPr>
      </w:pPr>
      <w:r w:rsidRPr="00DA2B26">
        <w:t xml:space="preserve">Prévalence du VIH </w:t>
      </w:r>
    </w:p>
    <w:p w14:paraId="439EB875" w14:textId="77777777" w:rsidR="00DA2B26" w:rsidRDefault="00DA2B26" w:rsidP="00DA2B26">
      <w:pPr>
        <w:pStyle w:val="Paragraphedeliste"/>
      </w:pPr>
      <w:r w:rsidRPr="00DA2B26">
        <w:t>La prévalence passe de 4,82 % en 1990 à un maximum de 5,23 % en 1993, puis diminue globalement pour atteindre 3,16 % en 2025. Entre 1990 et 2025, le recul est d’environ 1,66 point de pourcentage. La fin de période présente une évolution plus lente, proche de 3,2 %.</w:t>
      </w:r>
    </w:p>
    <w:p w14:paraId="074B1AF1" w14:textId="77777777" w:rsidR="00DA2B26" w:rsidRDefault="00DA2B26" w:rsidP="00DA2B26">
      <w:pPr>
        <w:pStyle w:val="Paragraphedeliste"/>
      </w:pPr>
    </w:p>
    <w:p w14:paraId="12757ED2" w14:textId="4EC82927" w:rsidR="00DA2B26" w:rsidRDefault="00DA2B26" w:rsidP="00DA2B26">
      <w:pPr>
        <w:pStyle w:val="Paragraphedeliste"/>
        <w:numPr>
          <w:ilvl w:val="0"/>
          <w:numId w:val="2"/>
        </w:numPr>
      </w:pPr>
      <w:r w:rsidRPr="00DA2B26">
        <w:t xml:space="preserve">Connaissance du statut sérologique </w:t>
      </w:r>
    </w:p>
    <w:p w14:paraId="61CDA4B5" w14:textId="08690124" w:rsidR="00DA2B26" w:rsidRDefault="00DA2B26" w:rsidP="00DA2B26">
      <w:pPr>
        <w:pStyle w:val="Paragraphedeliste"/>
      </w:pPr>
      <w:r w:rsidRPr="00DA2B26">
        <w:t xml:space="preserve">L’effectif national estimé de personnes vivant avec le VIH connaissant leur statut passe de 31 506 en 2015 à 53 089 en 2025, soit une hausse d’environ 68,5 %. Après un léger recul en 2016, la tendance progresse, avec une hausse particulièrement visible en fin de période. </w:t>
      </w:r>
    </w:p>
    <w:p w14:paraId="0627229D" w14:textId="77777777" w:rsidR="00DA2B26" w:rsidRDefault="00DA2B26" w:rsidP="00DA2B26">
      <w:pPr>
        <w:pStyle w:val="Paragraphedeliste"/>
      </w:pPr>
    </w:p>
    <w:p w14:paraId="404B458B" w14:textId="3F5D83DE" w:rsidR="00DA2B26" w:rsidRDefault="00DA2B26" w:rsidP="00DA2B26">
      <w:pPr>
        <w:pStyle w:val="Paragraphedeliste"/>
        <w:numPr>
          <w:ilvl w:val="0"/>
          <w:numId w:val="2"/>
        </w:numPr>
      </w:pPr>
      <w:r w:rsidRPr="00DA2B26">
        <w:t xml:space="preserve">Couverture des traitements antirétroviraux La couverture ARV parmi l’ensemble des personnes vivant avec le VIH passe de 15,55 % en 2010 à 35,42 % en 2025, soit un gain d’environ 19,87 points. Malgré quelques fluctuations, la progression est globale et s’accentue en fin de période. </w:t>
      </w:r>
    </w:p>
    <w:p w14:paraId="54B2B163" w14:textId="77777777" w:rsidR="00DA2B26" w:rsidRDefault="00DA2B26" w:rsidP="00DA2B26"/>
    <w:p w14:paraId="3EB2DDAF" w14:textId="77777777" w:rsidR="00DA2B26" w:rsidRDefault="00DA2B26" w:rsidP="00DA2B26">
      <w:pPr>
        <w:pStyle w:val="Paragraphedeliste"/>
        <w:numPr>
          <w:ilvl w:val="0"/>
          <w:numId w:val="2"/>
        </w:numPr>
      </w:pPr>
      <w:r w:rsidRPr="00DA2B26">
        <w:t xml:space="preserve">Nouvelles infections </w:t>
      </w:r>
    </w:p>
    <w:p w14:paraId="6D4667F1" w14:textId="36443041" w:rsidR="00DA2B26" w:rsidRDefault="00DA2B26" w:rsidP="00DA2B26">
      <w:pPr>
        <w:pStyle w:val="Paragraphedeliste"/>
      </w:pPr>
      <w:r w:rsidRPr="00DA2B26">
        <w:t xml:space="preserve">Les nouvelles infections annuelles estimées passent d’environ 10 346 en 1990 à un minimum de 7 099 en 2007. Elles remontent ensuite globalement, avec des fluctuations, jusqu’à un maximum de 10 633 en 2022. Après une baisse en 2023 et 2024, elles atteignent 10 311 en 2025, contre 9 725 en 2024. Le niveau de 2025 est proche de celui de 1990. </w:t>
      </w:r>
    </w:p>
    <w:p w14:paraId="70FC0C65" w14:textId="77777777" w:rsidR="00891A10" w:rsidRDefault="00891A10" w:rsidP="00DA2B26">
      <w:pPr>
        <w:pStyle w:val="Paragraphedeliste"/>
      </w:pPr>
    </w:p>
    <w:p w14:paraId="2C64E8D0" w14:textId="77777777" w:rsidR="00891A10" w:rsidRDefault="00DA2B26" w:rsidP="00DA2B26">
      <w:pPr>
        <w:pStyle w:val="Paragraphedeliste"/>
        <w:numPr>
          <w:ilvl w:val="0"/>
          <w:numId w:val="2"/>
        </w:numPr>
      </w:pPr>
      <w:r w:rsidRPr="00DA2B26">
        <w:t xml:space="preserve">Mortalité liée au sida </w:t>
      </w:r>
    </w:p>
    <w:p w14:paraId="5D5C5ACA" w14:textId="7194C9C7" w:rsidR="00DA2B26" w:rsidRDefault="00DA2B26" w:rsidP="00891A10">
      <w:pPr>
        <w:pStyle w:val="Paragraphedeliste"/>
      </w:pPr>
      <w:r w:rsidRPr="00DA2B26">
        <w:lastRenderedPageBreak/>
        <w:t xml:space="preserve">Les décès estimés passent d’environ 3 247 en 1990 à un pic de 7 699 en 2004. La trajectoire présente ensuite une baisse, une remontée intermédiaire, puis une diminution récente. Le nombre atteint 5 607 en 2025, soit environ un nombre de décès moins que le pic de 2004. La baisse récente est encourageante, mais la mortalité reste supérieure au niveau de 1990. </w:t>
      </w:r>
    </w:p>
    <w:p w14:paraId="4A4D3267" w14:textId="77777777" w:rsidR="00891A10" w:rsidRPr="00DA2B26" w:rsidRDefault="00891A10" w:rsidP="00891A10">
      <w:pPr>
        <w:pStyle w:val="Paragraphedeliste"/>
      </w:pPr>
    </w:p>
    <w:p w14:paraId="5B923C53" w14:textId="53F98715" w:rsidR="00891A10" w:rsidRDefault="00891A10" w:rsidP="00891A10">
      <w:pPr>
        <w:pStyle w:val="Paragraphedeliste"/>
        <w:numPr>
          <w:ilvl w:val="0"/>
          <w:numId w:val="2"/>
        </w:numPr>
      </w:pPr>
      <w:r>
        <w:t>Prédominance</w:t>
      </w:r>
      <w:r>
        <w:t xml:space="preserve"> selon le sexe</w:t>
      </w:r>
    </w:p>
    <w:p w14:paraId="7E41DDB7" w14:textId="29CC7E8D" w:rsidR="003F01D8" w:rsidRDefault="00891A10" w:rsidP="00891A10">
      <w:pPr>
        <w:pStyle w:val="Paragraphedeliste"/>
      </w:pPr>
      <w:r>
        <w:t xml:space="preserve">Les femmes représentent environ 73 894 personnes vivant avec le VIH en 2025, contre 26 661 hommes, soit environ 2,77 fois l’effectif masculin. </w:t>
      </w:r>
    </w:p>
    <w:p w14:paraId="251FAC4F" w14:textId="77777777" w:rsidR="00657E14" w:rsidRDefault="00657E14" w:rsidP="00891A10">
      <w:pPr>
        <w:pStyle w:val="Paragraphedeliste"/>
      </w:pPr>
    </w:p>
    <w:p w14:paraId="4CF860D9" w14:textId="6FA840B1" w:rsidR="00657E14" w:rsidRDefault="00891A10" w:rsidP="00657E14">
      <w:pPr>
        <w:pStyle w:val="Paragraphedeliste"/>
        <w:numPr>
          <w:ilvl w:val="0"/>
          <w:numId w:val="2"/>
        </w:numPr>
        <w:spacing w:line="240" w:lineRule="auto"/>
      </w:pPr>
      <w:r>
        <w:t xml:space="preserve">Répartition par groupe d’âge </w:t>
      </w:r>
    </w:p>
    <w:p w14:paraId="1E140872" w14:textId="2797137B" w:rsidR="003F01D8" w:rsidRDefault="00891A10" w:rsidP="00657E14">
      <w:pPr>
        <w:pStyle w:val="Paragraphedeliste"/>
        <w:spacing w:line="240" w:lineRule="auto"/>
      </w:pPr>
      <w:r>
        <w:t>En 2025, 11 508 personnes vivant avec le VIH chez les 0–14 ans, 19 801 chez les 15–24 ans et 100 555 chez les 15–49 ans.</w:t>
      </w:r>
    </w:p>
    <w:p w14:paraId="760B5EB8" w14:textId="2D3DB8BF" w:rsidR="00657E14" w:rsidRDefault="00657E14" w:rsidP="00334690">
      <w:pPr>
        <w:pStyle w:val="Titre1"/>
      </w:pPr>
    </w:p>
    <w:p w14:paraId="76DDBD5C" w14:textId="177E4250" w:rsidR="00657E14" w:rsidRDefault="00657E14" w:rsidP="00334690">
      <w:pPr>
        <w:pStyle w:val="Titre1"/>
      </w:pPr>
      <w:r>
        <w:t>I</w:t>
      </w:r>
      <w:r w:rsidR="00334690">
        <w:t>II</w:t>
      </w:r>
      <w:r>
        <w:t>. Recommandations stratégiques</w:t>
      </w:r>
    </w:p>
    <w:p w14:paraId="79F64ED5" w14:textId="77777777" w:rsidR="00657E14" w:rsidRDefault="00657E14" w:rsidP="00657E14">
      <w:pPr>
        <w:pStyle w:val="Paragraphedeliste"/>
        <w:spacing w:line="240" w:lineRule="auto"/>
      </w:pPr>
    </w:p>
    <w:p w14:paraId="1670C08C" w14:textId="35B6FA5D" w:rsidR="00844A39" w:rsidRDefault="00657E14" w:rsidP="00844A39">
      <w:pPr>
        <w:pStyle w:val="Paragraphedeliste"/>
        <w:numPr>
          <w:ilvl w:val="0"/>
          <w:numId w:val="5"/>
        </w:numPr>
        <w:spacing w:line="240" w:lineRule="auto"/>
      </w:pPr>
      <w:r>
        <w:t xml:space="preserve">Intensifier les efforts dans les </w:t>
      </w:r>
      <w:r w:rsidR="00F26490">
        <w:t>stratégies</w:t>
      </w:r>
      <w:r>
        <w:t xml:space="preserve"> de </w:t>
      </w:r>
      <w:r>
        <w:t xml:space="preserve">prévention </w:t>
      </w:r>
      <w:r>
        <w:t xml:space="preserve">de </w:t>
      </w:r>
      <w:r w:rsidR="00844A39">
        <w:t>façon</w:t>
      </w:r>
      <w:r>
        <w:t xml:space="preserve"> ciblées dans des groupes dit prioritaires au regard des analyses notamment : chez les jeunes </w:t>
      </w:r>
      <w:r w:rsidR="00844A39">
        <w:t xml:space="preserve">et adolescent en </w:t>
      </w:r>
      <w:r w:rsidR="00F26490">
        <w:t>général</w:t>
      </w:r>
      <w:r w:rsidR="00844A39">
        <w:t xml:space="preserve"> et en particulier chez </w:t>
      </w:r>
      <w:r>
        <w:t xml:space="preserve">femmes et les adolescentes </w:t>
      </w:r>
      <w:r w:rsidR="00F26490">
        <w:t>(15</w:t>
      </w:r>
      <w:r>
        <w:t xml:space="preserve">-24 </w:t>
      </w:r>
      <w:r w:rsidR="00F26490">
        <w:t>ans)</w:t>
      </w:r>
      <w:r>
        <w:t xml:space="preserve"> et </w:t>
      </w:r>
      <w:r w:rsidR="00F26490">
        <w:t>les (24</w:t>
      </w:r>
      <w:r>
        <w:t xml:space="preserve">-49 </w:t>
      </w:r>
      <w:r w:rsidR="00F26490">
        <w:t>ans)</w:t>
      </w:r>
      <w:r w:rsidR="00844A39">
        <w:t xml:space="preserve"> du fait de la </w:t>
      </w:r>
      <w:r w:rsidR="00F26490">
        <w:t>féminisation</w:t>
      </w:r>
      <w:r w:rsidR="00844A39">
        <w:t xml:space="preserve"> de l’</w:t>
      </w:r>
      <w:r w:rsidR="00F26490">
        <w:t>épidémie</w:t>
      </w:r>
      <w:r w:rsidR="00844A39">
        <w:t>.</w:t>
      </w:r>
    </w:p>
    <w:p w14:paraId="19B279B3" w14:textId="49DCCC16" w:rsidR="00844A39" w:rsidRDefault="00657E14" w:rsidP="00844A39">
      <w:pPr>
        <w:pStyle w:val="Paragraphedeliste"/>
        <w:spacing w:line="240" w:lineRule="auto"/>
        <w:ind w:left="1130"/>
      </w:pPr>
      <w:r>
        <w:t>La persistance des nouvelles infections appelle une prévention combinée :</w:t>
      </w:r>
      <w:r w:rsidR="00844A39">
        <w:t xml:space="preserve"> Campagne massive de sensibilisation couplée au </w:t>
      </w:r>
      <w:r w:rsidR="00F26490">
        <w:t>dépistage</w:t>
      </w:r>
      <w:r w:rsidR="00844A39">
        <w:t xml:space="preserve"> proposant des services d’</w:t>
      </w:r>
      <w:r>
        <w:t xml:space="preserve">accès aux préservatifs, éducation à </w:t>
      </w:r>
      <w:r w:rsidR="00F26490">
        <w:t>la santé</w:t>
      </w:r>
      <w:r w:rsidR="00844A39">
        <w:t xml:space="preserve"> sexuelle et </w:t>
      </w:r>
      <w:r w:rsidR="00F26490">
        <w:t>reproductive,</w:t>
      </w:r>
      <w:r>
        <w:t xml:space="preserve"> </w:t>
      </w:r>
      <w:r w:rsidR="00844A39">
        <w:t xml:space="preserve">Conseil et </w:t>
      </w:r>
      <w:r>
        <w:t xml:space="preserve">dépistage volontaire, prophylaxie </w:t>
      </w:r>
      <w:r w:rsidR="00F26490">
        <w:t>préexposition</w:t>
      </w:r>
      <w:r>
        <w:t xml:space="preserve"> (PrEP). Une attention particulière doit être portée aux femmes et aux jeunes, tout en maintenant une offre accessible aux hommes. Les facteurs expliquant les disparités doivent être documentés plutôt que supposés.</w:t>
      </w:r>
    </w:p>
    <w:p w14:paraId="11D52780" w14:textId="77777777" w:rsidR="00844A39" w:rsidRDefault="00844A39" w:rsidP="00844A39">
      <w:pPr>
        <w:pStyle w:val="Paragraphedeliste"/>
        <w:spacing w:line="240" w:lineRule="auto"/>
        <w:ind w:left="1130"/>
      </w:pPr>
    </w:p>
    <w:p w14:paraId="239989D1" w14:textId="77777777" w:rsidR="00844A39" w:rsidRDefault="00657E14" w:rsidP="00844A39">
      <w:pPr>
        <w:pStyle w:val="Paragraphedeliste"/>
        <w:numPr>
          <w:ilvl w:val="0"/>
          <w:numId w:val="5"/>
        </w:numPr>
        <w:spacing w:line="240" w:lineRule="auto"/>
      </w:pPr>
      <w:r>
        <w:t>Améliorer le diagnostic et l’entrée dans les soins</w:t>
      </w:r>
      <w:r w:rsidR="00844A39">
        <w:t>, d</w:t>
      </w:r>
      <w:r>
        <w:t>iversifier les modalités de dépistage, notamment communautaires et par autotests, et faciliter l’orientation rapide vers les soins après confirmation du diagnostic. La notification aux partenaires doit respecter le consentement, la confidentialité et la sécurité. Suivre séparément le nombre de personnes connaissant leur statut et leur proportion parmi toutes les personnes vivant avec le VIH.</w:t>
      </w:r>
    </w:p>
    <w:p w14:paraId="750D893C" w14:textId="678C7887" w:rsidR="00844A39" w:rsidRDefault="00844A39" w:rsidP="00844A39">
      <w:pPr>
        <w:pStyle w:val="Paragraphedeliste"/>
        <w:numPr>
          <w:ilvl w:val="0"/>
          <w:numId w:val="5"/>
        </w:numPr>
        <w:spacing w:line="240" w:lineRule="auto"/>
      </w:pPr>
      <w:r>
        <w:t xml:space="preserve">Inclure des </w:t>
      </w:r>
      <w:r w:rsidR="00F26490">
        <w:t>stratégies</w:t>
      </w:r>
      <w:r>
        <w:t xml:space="preserve"> de </w:t>
      </w:r>
      <w:r w:rsidR="00F26490">
        <w:t>prévention</w:t>
      </w:r>
      <w:r>
        <w:t xml:space="preserve"> </w:t>
      </w:r>
      <w:r w:rsidR="00F26490">
        <w:t>précoce</w:t>
      </w:r>
      <w:r>
        <w:t xml:space="preserve"> chez les femmes en </w:t>
      </w:r>
      <w:r w:rsidR="00F26490">
        <w:t>âge</w:t>
      </w:r>
      <w:r>
        <w:t xml:space="preserve"> de </w:t>
      </w:r>
      <w:r w:rsidR="00F26490">
        <w:t>procréer</w:t>
      </w:r>
      <w:r>
        <w:t xml:space="preserve"> en particulier chez les femmes enceintes et allaitantes en proposant des tests de depistages lors des CPN a chaque trimestre de la grossesse et chez celles </w:t>
      </w:r>
      <w:r w:rsidR="00F26490">
        <w:t>n’ayant</w:t>
      </w:r>
      <w:r>
        <w:t xml:space="preserve"> pas </w:t>
      </w:r>
      <w:r w:rsidR="00F26490">
        <w:t>été dépistées; se</w:t>
      </w:r>
      <w:r>
        <w:t xml:space="preserve"> rassurer de faire le screening, </w:t>
      </w:r>
      <w:r w:rsidR="00F26490">
        <w:t>dépistage</w:t>
      </w:r>
      <w:r>
        <w:t xml:space="preserve"> au BTA </w:t>
      </w:r>
      <w:r w:rsidR="00F26490">
        <w:t>(bloc</w:t>
      </w:r>
      <w:r>
        <w:t xml:space="preserve"> technique d’accouchement pour identifier le risque de transmission du </w:t>
      </w:r>
      <w:r w:rsidR="00F26490">
        <w:t>VIH)</w:t>
      </w:r>
    </w:p>
    <w:p w14:paraId="53C2BA77" w14:textId="77777777" w:rsidR="00844A39" w:rsidRDefault="00844A39" w:rsidP="00844A39">
      <w:pPr>
        <w:pStyle w:val="Paragraphedeliste"/>
        <w:spacing w:line="240" w:lineRule="auto"/>
        <w:ind w:left="1130"/>
      </w:pPr>
    </w:p>
    <w:p w14:paraId="33E553A0" w14:textId="12F8B427" w:rsidR="00657E14" w:rsidRDefault="00657E14" w:rsidP="00F26490">
      <w:pPr>
        <w:pStyle w:val="Paragraphedeliste"/>
        <w:numPr>
          <w:ilvl w:val="0"/>
          <w:numId w:val="5"/>
        </w:numPr>
        <w:spacing w:line="240" w:lineRule="auto"/>
      </w:pPr>
      <w:r>
        <w:t xml:space="preserve"> Étendre la couverture ARV et assurer </w:t>
      </w:r>
      <w:r w:rsidR="00F26490">
        <w:t xml:space="preserve">le continuum des soins, </w:t>
      </w:r>
      <w:r>
        <w:t>Renforcer l’initiation du traitement et la rétention</w:t>
      </w:r>
      <w:r w:rsidR="00F26490">
        <w:t xml:space="preserve"> dans les soins,</w:t>
      </w:r>
      <w:r>
        <w:t xml:space="preserve"> développer</w:t>
      </w:r>
      <w:r w:rsidR="00F26490">
        <w:t xml:space="preserve"> des politiques de santé en faveur de la</w:t>
      </w:r>
      <w:r>
        <w:t xml:space="preserve"> dispensation </w:t>
      </w:r>
      <w:r w:rsidR="00F26490">
        <w:t xml:space="preserve">communautaire des ARV </w:t>
      </w:r>
      <w:r>
        <w:t>pour les patients éligibles et sécuriser l’</w:t>
      </w:r>
      <w:r w:rsidR="00F26490">
        <w:t>approvisionnement. Suivre</w:t>
      </w:r>
      <w:r>
        <w:t xml:space="preserve"> la charge virale </w:t>
      </w:r>
      <w:r w:rsidR="00F26490">
        <w:t xml:space="preserve">et améliorer la remontée des données de la charge pour mesurer l’efficacité du traitement ARV, Prévenir les échecs thérapeutiques </w:t>
      </w:r>
    </w:p>
    <w:p w14:paraId="020343B8" w14:textId="07504EBE" w:rsidR="00F26490" w:rsidRDefault="00F26490" w:rsidP="00F26490">
      <w:pPr>
        <w:pStyle w:val="Paragraphedeliste"/>
      </w:pPr>
    </w:p>
    <w:p w14:paraId="2EE988A5" w14:textId="231ABF52" w:rsidR="00103495" w:rsidRDefault="00103495" w:rsidP="00F26490">
      <w:pPr>
        <w:pStyle w:val="Paragraphedeliste"/>
      </w:pPr>
    </w:p>
    <w:p w14:paraId="542A7984" w14:textId="7C8496CA" w:rsidR="00AE756D" w:rsidRDefault="00AE756D" w:rsidP="00F26490">
      <w:pPr>
        <w:pStyle w:val="Paragraphedeliste"/>
      </w:pPr>
    </w:p>
    <w:p w14:paraId="0599BB6C" w14:textId="75B7D168" w:rsidR="00AE756D" w:rsidRDefault="00AE756D" w:rsidP="00F26490">
      <w:pPr>
        <w:pStyle w:val="Paragraphedeliste"/>
      </w:pPr>
    </w:p>
    <w:p w14:paraId="27E9854F" w14:textId="77777777" w:rsidR="00AE756D" w:rsidRDefault="00AE756D" w:rsidP="00F26490">
      <w:pPr>
        <w:pStyle w:val="Paragraphedeliste"/>
      </w:pPr>
    </w:p>
    <w:p w14:paraId="40926E69" w14:textId="77777777" w:rsidR="00103495" w:rsidRDefault="00103495" w:rsidP="00F26490">
      <w:pPr>
        <w:pStyle w:val="Paragraphedeliste"/>
      </w:pPr>
    </w:p>
    <w:p w14:paraId="4F690224" w14:textId="2AABE685" w:rsidR="00F26490" w:rsidRDefault="00334690" w:rsidP="00F26490">
      <w:pPr>
        <w:pStyle w:val="Titre1"/>
      </w:pPr>
      <w:r>
        <w:t>I</w:t>
      </w:r>
      <w:r w:rsidR="00F26490">
        <w:t>V. Limites de l’analyse</w:t>
      </w:r>
    </w:p>
    <w:p w14:paraId="64EA306A" w14:textId="67EE130B" w:rsidR="00103495" w:rsidRPr="00103495" w:rsidRDefault="00103495" w:rsidP="00103495"/>
    <w:p w14:paraId="537E52D5" w14:textId="09A8332F" w:rsidR="00F26490" w:rsidRDefault="00F26490" w:rsidP="00103495">
      <w:pPr>
        <w:pStyle w:val="Paragraphedeliste"/>
        <w:numPr>
          <w:ilvl w:val="0"/>
          <w:numId w:val="7"/>
        </w:numPr>
      </w:pPr>
      <w:r w:rsidRPr="00F26490">
        <w:t>Suppression virale indisponible</w:t>
      </w:r>
      <w:r w:rsidR="00103495">
        <w:t> : Difficultés a évaluer/apprécier le taux de suppression virale du fait de la non disponibilité des données sur la charge virale (nombre ou proportion de personnes sous traitement ARV ayant retiré leur charge virale ou ayant un examen de charge virale dite supprimées)</w:t>
      </w:r>
    </w:p>
    <w:p w14:paraId="42B455B4" w14:textId="4C096745" w:rsidR="00103495" w:rsidRDefault="00103495" w:rsidP="00103495"/>
    <w:p w14:paraId="6A23FF3A" w14:textId="30D8B83A" w:rsidR="00F26490" w:rsidRDefault="00601D1F" w:rsidP="00103495">
      <w:pPr>
        <w:pStyle w:val="Paragraphedeliste"/>
        <w:numPr>
          <w:ilvl w:val="0"/>
          <w:numId w:val="7"/>
        </w:numPr>
      </w:pPr>
      <w:r>
        <w:t>Répartition</w:t>
      </w:r>
      <w:r w:rsidR="00F26490" w:rsidRPr="00F26490">
        <w:t xml:space="preserve"> par</w:t>
      </w:r>
      <w:r>
        <w:t xml:space="preserve"> tranche d’</w:t>
      </w:r>
      <w:r w:rsidR="00F26490" w:rsidRPr="00F26490">
        <w:t xml:space="preserve">âge : les 0–14, 15–24 et 15–49 </w:t>
      </w:r>
      <w:r w:rsidR="00103495">
        <w:t xml:space="preserve">Difficultés à formuler des orientations stratégiques ciblées car l’analyse de la prévalence chez les différentes tranches d’âge n’a pu être réalisé chez les 15-24 ans. Une </w:t>
      </w:r>
      <w:r>
        <w:t>prévalence</w:t>
      </w:r>
      <w:r w:rsidR="00103495">
        <w:t xml:space="preserve"> de 15-49 ans ne permet de définir les différentes interventions prioritaires chez les adolescents et les jeunes notamment les 15-24 ans. Ce qui rends difficile la mise en </w:t>
      </w:r>
      <w:r>
        <w:t>œuvre desdites</w:t>
      </w:r>
      <w:r w:rsidR="00103495">
        <w:t xml:space="preserve"> interventions ciblées comparativement a la tranche de 24-49 ans</w:t>
      </w:r>
    </w:p>
    <w:p w14:paraId="072356DF" w14:textId="77777777" w:rsidR="00601D1F" w:rsidRDefault="00601D1F" w:rsidP="00601D1F">
      <w:pPr>
        <w:pStyle w:val="Paragraphedeliste"/>
      </w:pPr>
    </w:p>
    <w:p w14:paraId="077629E4" w14:textId="4B08F2B2" w:rsidR="00AE756D" w:rsidRDefault="00601D1F" w:rsidP="00AE756D">
      <w:pPr>
        <w:pStyle w:val="Paragraphedeliste"/>
        <w:numPr>
          <w:ilvl w:val="0"/>
          <w:numId w:val="7"/>
        </w:numPr>
      </w:pPr>
      <w:r>
        <w:t xml:space="preserve">Difficultés a mesurer le </w:t>
      </w:r>
      <w:r w:rsidR="00AE756D">
        <w:t>progrès</w:t>
      </w:r>
      <w:r>
        <w:t xml:space="preserve"> vers l’atteinte de la </w:t>
      </w:r>
      <w:r w:rsidR="00AE756D">
        <w:t>stratégie</w:t>
      </w:r>
      <w:r>
        <w:t xml:space="preserve"> mondiale de l’</w:t>
      </w:r>
      <w:r w:rsidR="00AE756D">
        <w:t>élimination</w:t>
      </w:r>
      <w:r>
        <w:t xml:space="preserve"> du VIH d’ici a 2030, notamment le 1</w:t>
      </w:r>
      <w:r w:rsidRPr="00601D1F">
        <w:rPr>
          <w:vertAlign w:val="superscript"/>
        </w:rPr>
        <w:t>er</w:t>
      </w:r>
      <w:r>
        <w:t xml:space="preserve"> 95 qui </w:t>
      </w:r>
      <w:r w:rsidR="00AE756D">
        <w:t>représente</w:t>
      </w:r>
      <w:r>
        <w:t xml:space="preserve"> le nombre de personnes vivant avec le VIH qui connaissent leur statut </w:t>
      </w:r>
      <w:r w:rsidR="00AE756D">
        <w:t>sérologique</w:t>
      </w:r>
      <w:r>
        <w:t>, cet indicateur qui permet d’</w:t>
      </w:r>
      <w:r w:rsidR="00AE756D">
        <w:t>évaluer</w:t>
      </w:r>
      <w:r>
        <w:t xml:space="preserve"> la proportion ou le pourcentage de personnes qui </w:t>
      </w:r>
      <w:r w:rsidR="00AE756D">
        <w:t>connaissent</w:t>
      </w:r>
      <w:r>
        <w:t xml:space="preserve"> leur statut </w:t>
      </w:r>
      <w:r w:rsidR="00AE756D">
        <w:t>sérologique</w:t>
      </w:r>
      <w:r>
        <w:t xml:space="preserve"> comparativement </w:t>
      </w:r>
      <w:r w:rsidR="00AE756D">
        <w:t>au nombre estimatif global de personnes infectés par le VIH n’a pu être calculé et comparer sur un espace temporel allant de 1990 à 2025 du fait de la non disponibilité dans la base de donnée du nombre de PVVIH estimatif par années. Ne pouvant pas avoir le premier 95 le reste des éléments de la cascade ne peut être calculé notamment le 2</w:t>
      </w:r>
      <w:r w:rsidR="00AE756D" w:rsidRPr="00AE756D">
        <w:rPr>
          <w:vertAlign w:val="superscript"/>
        </w:rPr>
        <w:t>e</w:t>
      </w:r>
      <w:r w:rsidR="00AE756D">
        <w:t xml:space="preserve"> et le 3</w:t>
      </w:r>
      <w:r w:rsidR="00AE756D" w:rsidRPr="00AE756D">
        <w:rPr>
          <w:vertAlign w:val="superscript"/>
        </w:rPr>
        <w:t>e</w:t>
      </w:r>
      <w:r w:rsidR="00AE756D">
        <w:t xml:space="preserve"> 95.</w:t>
      </w:r>
    </w:p>
    <w:p w14:paraId="2DE4FED2" w14:textId="61C2A597" w:rsidR="00AE756D" w:rsidRDefault="00AE756D" w:rsidP="00AE756D">
      <w:pPr>
        <w:pStyle w:val="Paragraphedeliste"/>
      </w:pPr>
    </w:p>
    <w:p w14:paraId="4488109E" w14:textId="7DA06542" w:rsidR="00AE756D" w:rsidRDefault="00AE756D" w:rsidP="00AE756D">
      <w:pPr>
        <w:pStyle w:val="Titre1"/>
      </w:pPr>
      <w:r>
        <w:t>Annexe</w:t>
      </w:r>
      <w:r w:rsidR="00334690">
        <w:t>s</w:t>
      </w:r>
    </w:p>
    <w:p w14:paraId="365224BB" w14:textId="400FC0A5" w:rsidR="00AE756D" w:rsidRDefault="00334690" w:rsidP="00AE756D">
      <w:r>
        <w:rPr>
          <w:noProof/>
        </w:rPr>
        <w:drawing>
          <wp:anchor distT="0" distB="0" distL="114300" distR="114300" simplePos="0" relativeHeight="251658240" behindDoc="0" locked="0" layoutInCell="1" allowOverlap="1" wp14:anchorId="3727B8CB" wp14:editId="33423AC5">
            <wp:simplePos x="0" y="0"/>
            <wp:positionH relativeFrom="margin">
              <wp:posOffset>-55245</wp:posOffset>
            </wp:positionH>
            <wp:positionV relativeFrom="paragraph">
              <wp:posOffset>313690</wp:posOffset>
            </wp:positionV>
            <wp:extent cx="5403850" cy="3461841"/>
            <wp:effectExtent l="0" t="0" r="6350" b="571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44388" cy="3487810"/>
                    </a:xfrm>
                    <a:prstGeom prst="rect">
                      <a:avLst/>
                    </a:prstGeom>
                  </pic:spPr>
                </pic:pic>
              </a:graphicData>
            </a:graphic>
            <wp14:sizeRelH relativeFrom="margin">
              <wp14:pctWidth>0</wp14:pctWidth>
            </wp14:sizeRelH>
            <wp14:sizeRelV relativeFrom="margin">
              <wp14:pctHeight>0</wp14:pctHeight>
            </wp14:sizeRelV>
          </wp:anchor>
        </w:drawing>
      </w:r>
    </w:p>
    <w:p w14:paraId="32B0F346" w14:textId="0ED5553C" w:rsidR="00AE756D" w:rsidRDefault="00AE756D" w:rsidP="00AE756D"/>
    <w:p w14:paraId="2933A515" w14:textId="3D50D8A4" w:rsidR="00334690" w:rsidRPr="00334690" w:rsidRDefault="00334690" w:rsidP="00334690"/>
    <w:p w14:paraId="6193E664" w14:textId="01FA69DE" w:rsidR="00334690" w:rsidRPr="00334690" w:rsidRDefault="00334690" w:rsidP="00334690"/>
    <w:p w14:paraId="7EBC0D76" w14:textId="0F5D6155" w:rsidR="00334690" w:rsidRPr="00334690" w:rsidRDefault="00334690" w:rsidP="00334690"/>
    <w:p w14:paraId="0C6BAEDB" w14:textId="1A1FCB26" w:rsidR="00334690" w:rsidRPr="00334690" w:rsidRDefault="00334690" w:rsidP="00334690"/>
    <w:p w14:paraId="50C11E23" w14:textId="1BADFA6F" w:rsidR="00334690" w:rsidRPr="00334690" w:rsidRDefault="00334690" w:rsidP="00334690"/>
    <w:p w14:paraId="7C6D465E" w14:textId="07318062" w:rsidR="00334690" w:rsidRPr="00334690" w:rsidRDefault="00334690" w:rsidP="00334690"/>
    <w:p w14:paraId="1116E960" w14:textId="3703BD13" w:rsidR="00334690" w:rsidRPr="00334690" w:rsidRDefault="00334690" w:rsidP="00334690"/>
    <w:p w14:paraId="25795A65" w14:textId="3B8D9C06" w:rsidR="00334690" w:rsidRPr="00334690" w:rsidRDefault="00334690" w:rsidP="00334690"/>
    <w:p w14:paraId="42A76906" w14:textId="2B74D2AA" w:rsidR="00334690" w:rsidRPr="00334690" w:rsidRDefault="00334690" w:rsidP="00334690"/>
    <w:p w14:paraId="3BC2822C" w14:textId="3008B797" w:rsidR="00334690" w:rsidRDefault="00334690" w:rsidP="00334690"/>
    <w:p w14:paraId="5977DB05" w14:textId="661A2D60" w:rsidR="00334690" w:rsidRDefault="00334690" w:rsidP="00334690">
      <w:pPr>
        <w:jc w:val="right"/>
      </w:pPr>
    </w:p>
    <w:p w14:paraId="154B9E8F" w14:textId="2876273C" w:rsidR="00334690" w:rsidRDefault="00334690" w:rsidP="00334690">
      <w:pPr>
        <w:jc w:val="right"/>
      </w:pPr>
      <w:r>
        <w:rPr>
          <w:noProof/>
        </w:rPr>
        <w:drawing>
          <wp:anchor distT="0" distB="0" distL="114300" distR="114300" simplePos="0" relativeHeight="251659264" behindDoc="0" locked="0" layoutInCell="1" allowOverlap="1" wp14:anchorId="2ED28A20" wp14:editId="0AE66E1B">
            <wp:simplePos x="0" y="0"/>
            <wp:positionH relativeFrom="margin">
              <wp:posOffset>-82550</wp:posOffset>
            </wp:positionH>
            <wp:positionV relativeFrom="paragraph">
              <wp:posOffset>-4445</wp:posOffset>
            </wp:positionV>
            <wp:extent cx="4874703" cy="2889250"/>
            <wp:effectExtent l="0" t="0" r="2540" b="635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a:extLst>
                        <a:ext uri="{28A0092B-C50C-407E-A947-70E740481C1C}">
                          <a14:useLocalDpi xmlns:a14="http://schemas.microsoft.com/office/drawing/2010/main" val="0"/>
                        </a:ext>
                      </a:extLst>
                    </a:blip>
                    <a:stretch>
                      <a:fillRect/>
                    </a:stretch>
                  </pic:blipFill>
                  <pic:spPr>
                    <a:xfrm>
                      <a:off x="0" y="0"/>
                      <a:ext cx="4874703" cy="2889250"/>
                    </a:xfrm>
                    <a:prstGeom prst="rect">
                      <a:avLst/>
                    </a:prstGeom>
                  </pic:spPr>
                </pic:pic>
              </a:graphicData>
            </a:graphic>
            <wp14:sizeRelH relativeFrom="margin">
              <wp14:pctWidth>0</wp14:pctWidth>
            </wp14:sizeRelH>
            <wp14:sizeRelV relativeFrom="margin">
              <wp14:pctHeight>0</wp14:pctHeight>
            </wp14:sizeRelV>
          </wp:anchor>
        </w:drawing>
      </w:r>
    </w:p>
    <w:p w14:paraId="76B303A7" w14:textId="74597F50" w:rsidR="00334690" w:rsidRPr="00334690" w:rsidRDefault="00334690" w:rsidP="00334690">
      <w:pPr>
        <w:jc w:val="right"/>
      </w:pPr>
    </w:p>
    <w:sectPr w:rsidR="00334690" w:rsidRPr="003346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7A1F"/>
    <w:multiLevelType w:val="hybridMultilevel"/>
    <w:tmpl w:val="2550F518"/>
    <w:lvl w:ilvl="0" w:tplc="ACEA2C6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4331F5"/>
    <w:multiLevelType w:val="hybridMultilevel"/>
    <w:tmpl w:val="617C64B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0C3294D"/>
    <w:multiLevelType w:val="hybridMultilevel"/>
    <w:tmpl w:val="4C42D08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1435E56"/>
    <w:multiLevelType w:val="hybridMultilevel"/>
    <w:tmpl w:val="B9B8633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D6B1F48"/>
    <w:multiLevelType w:val="hybridMultilevel"/>
    <w:tmpl w:val="44802D38"/>
    <w:lvl w:ilvl="0" w:tplc="9A7AD956">
      <w:start w:val="1"/>
      <w:numFmt w:val="decimal"/>
      <w:lvlText w:val="%1."/>
      <w:lvlJc w:val="left"/>
      <w:pPr>
        <w:ind w:left="1130" w:hanging="360"/>
      </w:pPr>
      <w:rPr>
        <w:rFonts w:hint="default"/>
      </w:rPr>
    </w:lvl>
    <w:lvl w:ilvl="1" w:tplc="2D7A09BA">
      <w:start w:val="2"/>
      <w:numFmt w:val="bullet"/>
      <w:lvlText w:val="•"/>
      <w:lvlJc w:val="left"/>
      <w:pPr>
        <w:ind w:left="1850" w:hanging="360"/>
      </w:pPr>
      <w:rPr>
        <w:rFonts w:ascii="Calibri" w:eastAsiaTheme="minorHAnsi" w:hAnsi="Calibri" w:cs="Calibri" w:hint="default"/>
      </w:rPr>
    </w:lvl>
    <w:lvl w:ilvl="2" w:tplc="040C001B" w:tentative="1">
      <w:start w:val="1"/>
      <w:numFmt w:val="lowerRoman"/>
      <w:lvlText w:val="%3."/>
      <w:lvlJc w:val="right"/>
      <w:pPr>
        <w:ind w:left="2570" w:hanging="180"/>
      </w:pPr>
    </w:lvl>
    <w:lvl w:ilvl="3" w:tplc="040C000F" w:tentative="1">
      <w:start w:val="1"/>
      <w:numFmt w:val="decimal"/>
      <w:lvlText w:val="%4."/>
      <w:lvlJc w:val="left"/>
      <w:pPr>
        <w:ind w:left="3290" w:hanging="360"/>
      </w:pPr>
    </w:lvl>
    <w:lvl w:ilvl="4" w:tplc="040C0019" w:tentative="1">
      <w:start w:val="1"/>
      <w:numFmt w:val="lowerLetter"/>
      <w:lvlText w:val="%5."/>
      <w:lvlJc w:val="left"/>
      <w:pPr>
        <w:ind w:left="4010" w:hanging="360"/>
      </w:pPr>
    </w:lvl>
    <w:lvl w:ilvl="5" w:tplc="040C001B" w:tentative="1">
      <w:start w:val="1"/>
      <w:numFmt w:val="lowerRoman"/>
      <w:lvlText w:val="%6."/>
      <w:lvlJc w:val="right"/>
      <w:pPr>
        <w:ind w:left="4730" w:hanging="180"/>
      </w:pPr>
    </w:lvl>
    <w:lvl w:ilvl="6" w:tplc="040C000F" w:tentative="1">
      <w:start w:val="1"/>
      <w:numFmt w:val="decimal"/>
      <w:lvlText w:val="%7."/>
      <w:lvlJc w:val="left"/>
      <w:pPr>
        <w:ind w:left="5450" w:hanging="360"/>
      </w:pPr>
    </w:lvl>
    <w:lvl w:ilvl="7" w:tplc="040C0019" w:tentative="1">
      <w:start w:val="1"/>
      <w:numFmt w:val="lowerLetter"/>
      <w:lvlText w:val="%8."/>
      <w:lvlJc w:val="left"/>
      <w:pPr>
        <w:ind w:left="6170" w:hanging="360"/>
      </w:pPr>
    </w:lvl>
    <w:lvl w:ilvl="8" w:tplc="040C001B" w:tentative="1">
      <w:start w:val="1"/>
      <w:numFmt w:val="lowerRoman"/>
      <w:lvlText w:val="%9."/>
      <w:lvlJc w:val="right"/>
      <w:pPr>
        <w:ind w:left="6890" w:hanging="180"/>
      </w:pPr>
    </w:lvl>
  </w:abstractNum>
  <w:abstractNum w:abstractNumId="5" w15:restartNumberingAfterBreak="0">
    <w:nsid w:val="59D926FA"/>
    <w:multiLevelType w:val="hybridMultilevel"/>
    <w:tmpl w:val="1DD4B0CA"/>
    <w:lvl w:ilvl="0" w:tplc="040C000F">
      <w:start w:val="1"/>
      <w:numFmt w:val="decimal"/>
      <w:lvlText w:val="%1."/>
      <w:lvlJc w:val="left"/>
      <w:pPr>
        <w:ind w:left="1850" w:hanging="360"/>
      </w:pPr>
    </w:lvl>
    <w:lvl w:ilvl="1" w:tplc="040C0019" w:tentative="1">
      <w:start w:val="1"/>
      <w:numFmt w:val="lowerLetter"/>
      <w:lvlText w:val="%2."/>
      <w:lvlJc w:val="left"/>
      <w:pPr>
        <w:ind w:left="2570" w:hanging="360"/>
      </w:pPr>
    </w:lvl>
    <w:lvl w:ilvl="2" w:tplc="040C001B" w:tentative="1">
      <w:start w:val="1"/>
      <w:numFmt w:val="lowerRoman"/>
      <w:lvlText w:val="%3."/>
      <w:lvlJc w:val="right"/>
      <w:pPr>
        <w:ind w:left="3290" w:hanging="180"/>
      </w:pPr>
    </w:lvl>
    <w:lvl w:ilvl="3" w:tplc="040C000F" w:tentative="1">
      <w:start w:val="1"/>
      <w:numFmt w:val="decimal"/>
      <w:lvlText w:val="%4."/>
      <w:lvlJc w:val="left"/>
      <w:pPr>
        <w:ind w:left="4010" w:hanging="360"/>
      </w:pPr>
    </w:lvl>
    <w:lvl w:ilvl="4" w:tplc="040C0019" w:tentative="1">
      <w:start w:val="1"/>
      <w:numFmt w:val="lowerLetter"/>
      <w:lvlText w:val="%5."/>
      <w:lvlJc w:val="left"/>
      <w:pPr>
        <w:ind w:left="4730" w:hanging="360"/>
      </w:pPr>
    </w:lvl>
    <w:lvl w:ilvl="5" w:tplc="040C001B" w:tentative="1">
      <w:start w:val="1"/>
      <w:numFmt w:val="lowerRoman"/>
      <w:lvlText w:val="%6."/>
      <w:lvlJc w:val="right"/>
      <w:pPr>
        <w:ind w:left="5450" w:hanging="180"/>
      </w:pPr>
    </w:lvl>
    <w:lvl w:ilvl="6" w:tplc="040C000F" w:tentative="1">
      <w:start w:val="1"/>
      <w:numFmt w:val="decimal"/>
      <w:lvlText w:val="%7."/>
      <w:lvlJc w:val="left"/>
      <w:pPr>
        <w:ind w:left="6170" w:hanging="360"/>
      </w:pPr>
    </w:lvl>
    <w:lvl w:ilvl="7" w:tplc="040C0019" w:tentative="1">
      <w:start w:val="1"/>
      <w:numFmt w:val="lowerLetter"/>
      <w:lvlText w:val="%8."/>
      <w:lvlJc w:val="left"/>
      <w:pPr>
        <w:ind w:left="6890" w:hanging="360"/>
      </w:pPr>
    </w:lvl>
    <w:lvl w:ilvl="8" w:tplc="040C001B" w:tentative="1">
      <w:start w:val="1"/>
      <w:numFmt w:val="lowerRoman"/>
      <w:lvlText w:val="%9."/>
      <w:lvlJc w:val="right"/>
      <w:pPr>
        <w:ind w:left="7610" w:hanging="180"/>
      </w:pPr>
    </w:lvl>
  </w:abstractNum>
  <w:abstractNum w:abstractNumId="6" w15:restartNumberingAfterBreak="0">
    <w:nsid w:val="5ABA5498"/>
    <w:multiLevelType w:val="hybridMultilevel"/>
    <w:tmpl w:val="1CEAA866"/>
    <w:lvl w:ilvl="0" w:tplc="040C0015">
      <w:start w:val="1"/>
      <w:numFmt w:val="upperLetter"/>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1D8"/>
    <w:rsid w:val="000702E1"/>
    <w:rsid w:val="0008117A"/>
    <w:rsid w:val="00103495"/>
    <w:rsid w:val="00334690"/>
    <w:rsid w:val="003F01D8"/>
    <w:rsid w:val="00484C96"/>
    <w:rsid w:val="00601D1F"/>
    <w:rsid w:val="00657E14"/>
    <w:rsid w:val="00844A39"/>
    <w:rsid w:val="00891A10"/>
    <w:rsid w:val="00AE756D"/>
    <w:rsid w:val="00DA2B26"/>
    <w:rsid w:val="00F264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B5459"/>
  <w15:chartTrackingRefBased/>
  <w15:docId w15:val="{ECCE6F0E-E324-401D-8228-E1F0E450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Titre1">
    <w:name w:val="heading 1"/>
    <w:basedOn w:val="Normal"/>
    <w:next w:val="Normal"/>
    <w:link w:val="Titre1Car"/>
    <w:uiPriority w:val="9"/>
    <w:qFormat/>
    <w:rsid w:val="003F01D8"/>
    <w:pPr>
      <w:keepNext/>
      <w:keepLines/>
      <w:spacing w:before="240" w:after="0"/>
      <w:outlineLvl w:val="0"/>
    </w:pPr>
    <w:rPr>
      <w:rFonts w:asciiTheme="majorHAnsi" w:eastAsiaTheme="majorEastAsia" w:hAnsiTheme="majorHAnsi" w:cstheme="majorBidi"/>
      <w:color w:val="7030A0"/>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01D8"/>
    <w:rPr>
      <w:rFonts w:asciiTheme="majorHAnsi" w:eastAsiaTheme="majorEastAsia" w:hAnsiTheme="majorHAnsi" w:cstheme="majorBidi"/>
      <w:color w:val="7030A0"/>
      <w:sz w:val="32"/>
      <w:szCs w:val="32"/>
      <w:lang w:val="fr-CA"/>
    </w:rPr>
  </w:style>
  <w:style w:type="paragraph" w:styleId="Citationintense">
    <w:name w:val="Intense Quote"/>
    <w:basedOn w:val="Normal"/>
    <w:next w:val="Normal"/>
    <w:link w:val="CitationintenseCar"/>
    <w:uiPriority w:val="30"/>
    <w:qFormat/>
    <w:rsid w:val="003F01D8"/>
    <w:pPr>
      <w:pBdr>
        <w:top w:val="single" w:sz="4" w:space="10" w:color="4472C4" w:themeColor="accent1"/>
        <w:bottom w:val="single" w:sz="4" w:space="10" w:color="4472C4" w:themeColor="accent1"/>
      </w:pBdr>
      <w:spacing w:before="360" w:after="360"/>
      <w:ind w:left="864" w:right="864"/>
      <w:jc w:val="center"/>
    </w:pPr>
    <w:rPr>
      <w:i/>
      <w:iCs/>
      <w:color w:val="7030A0"/>
    </w:rPr>
  </w:style>
  <w:style w:type="character" w:customStyle="1" w:styleId="CitationintenseCar">
    <w:name w:val="Citation intense Car"/>
    <w:basedOn w:val="Policepardfaut"/>
    <w:link w:val="Citationintense"/>
    <w:uiPriority w:val="30"/>
    <w:rsid w:val="003F01D8"/>
    <w:rPr>
      <w:i/>
      <w:iCs/>
      <w:color w:val="7030A0"/>
      <w:lang w:val="fr-CA"/>
    </w:rPr>
  </w:style>
  <w:style w:type="paragraph" w:styleId="Paragraphedeliste">
    <w:name w:val="List Paragraph"/>
    <w:basedOn w:val="Normal"/>
    <w:uiPriority w:val="34"/>
    <w:qFormat/>
    <w:rsid w:val="003F01D8"/>
    <w:pPr>
      <w:ind w:left="720"/>
      <w:contextualSpacing/>
    </w:pPr>
  </w:style>
  <w:style w:type="character" w:styleId="Rfrencelgre">
    <w:name w:val="Subtle Reference"/>
    <w:basedOn w:val="Policepardfaut"/>
    <w:uiPriority w:val="31"/>
    <w:qFormat/>
    <w:rsid w:val="003F01D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4</Pages>
  <Words>1006</Words>
  <Characters>5539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Emmanuelle MPIKA</dc:creator>
  <cp:keywords/>
  <dc:description/>
  <cp:lastModifiedBy>Emmanuelle MPIKA</cp:lastModifiedBy>
  <cp:revision>2</cp:revision>
  <dcterms:created xsi:type="dcterms:W3CDTF">2026-10-04T14:41:00Z</dcterms:created>
  <dcterms:modified xsi:type="dcterms:W3CDTF">2026-10-04T22:11:00Z</dcterms:modified>
</cp:coreProperties>
</file>