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Regen pool on Rari’s Capital Fuse now live!!!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Regen Fuse Pool: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https://app.rari.capital/fuse/pool/167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have deployed the Regen Pool which enables the blockchain4good community, especially GIV HODLers to borrow against the community assets.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deposit your stable tokens (FEI, Dai) and earn up to EPIC yield in lending fees and $GIV incentives.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use GIV tokens to borrow the Stable tokens and use them to fuel our Angel Vault on ICHI which will protect the $GIV price and provide an additional layer of comfort for GIV HODLers who plan to use the asset as collateral when borrowing on Rari Capital.</w:t>
        <w:br w:type="textWrapping"/>
        <w:br w:type="textWrapping"/>
        <w:t xml:space="preserve">Angel Vaults have been incredible with providing protection against price declines while providing high income. Example from ICHI: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pool parameters config.* - collateral factors assigned to assets, as volatile assets should normally have more restricted LTV ratios.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bad oracle (oracles to manage liquidations and keep the protocol or pool afloat)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little liquidity - if we supply too little GIV we can manipulate the price of the asset to return to large supply position with a huge collateral and use that to borrow funds without intention of returning.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Fuse liquidates unhealthy loans where the value of the collateral falls below the borrow limit.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During a liquidation process, a borrower’s deposit will be sold (i.e. liquidated) to repay the loan and bring the LTV to a safer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We have a lot of GIV, we can sell them the idea that we plan to heavily over collateralize it and maintain a borrow rate of 30% or lower. Price of GIV goes down we can deposit more GIV to make sure that we can sustain at least 70% sudden drop in price.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Maintain a utilization rate of 80% = ~800k $GIV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(prevent bank runs where the high utilization rate of the pool prevents users who have deposited the assets from exiting them as there is insufficient liquidity).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 Rari Safety Scores are displayed on the pool discovery page to help provide a metric for comparison between pools,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Fuse explained: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https://medium.com/rari-capital/fuse-explained-3ef2e0747953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Guide to rari capital: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https://medium.com/stakingbits/guide-to-rari-capital-fuse-permissionless-money-markets-2632a2a72929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Plugins? help with the stream connection?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 Staking plugin: The staking plugin will utilize idle tokens by staking them for rewards through their native platforms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 Interest Rate Model Plugin: the lending interest rate for assets will match the staking rewards yield available on that asset.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Config*: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Assets (as long as an oracle supports it)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Oracles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Platform fee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Admin Fee (additional fee on top of protocol fee)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Liquidation Incentive (additional collateral given to liquidators as an incentive to perform liquidations of underwater accounts)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Whitelist (option for the pool to be permissioned for selected addresses)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Close Factor (factor of a liquidatable account’s borrow that can be repaid in a single liquidate transaction)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Upgradeability (whether the pool parameters can be modified)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Collateral Factor (represents the proportionate increase in borrow limit an account receives)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Reserve Factor (portion of borrower interest that is converted into reserves)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Pool Admin (an Ethereum address, multi-sig or DAO contract that owns and manages the pool)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takingbits/guide-to-rari-capital-fuse-permissionless-money-markets-2632a2a72929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rari.capital/fuse/pool/167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edium.com/rari-capital/fuse-explained-3ef2e0747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