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What is required?</w:t>
            </w:r>
          </w:p>
        </w:tc>
      </w:tr>
      <w:tr>
        <w:trPr>
          <w:trHeight w:val="13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Longer term </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Headers for social media (twitter, youtube, medium!)</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Original t-shirts, stickers, other goodies</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Visual elements for presentations/animations etc etc</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4 circle designs !! // social coding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this will be covered in a SEPARATE briefing doc (coming up)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What are we communicating, and why?</w:t>
            </w:r>
          </w:p>
        </w:tc>
      </w:tr>
      <w:tr>
        <w:trPr>
          <w:trHeight w:val="13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0">
            <w:pPr>
              <w:numPr>
                <w:ilvl w:val="0"/>
                <w:numId w:val="2"/>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We have the scalingNOW event o, </w:t>
            </w:r>
          </w:p>
          <w:p w:rsidR="00000000" w:rsidDel="00000000" w:rsidP="00000000" w:rsidRDefault="00000000" w:rsidRPr="00000000" w14:paraId="0000001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 Who are we communicating to?</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Ethereum (blockchain) developers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 What do they currently think/feel/do?</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Cryptocurrency feels a bit like gambling (financially), Technology is in it’s infancy, the regulated world catches up with the pirates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How do we want them to think/feel/do?</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This tech is cool and changing the world (potentially for the better), the revolution is happening, Giveth and friends are the guys where it’s at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 How can we support this?</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ind w:left="0" w:firstLine="0"/>
              <w:contextualSpacing w:val="0"/>
              <w:rPr>
                <w:rFonts w:ascii="Verdana" w:cs="Verdana" w:eastAsia="Verdana" w:hAnsi="Verdana"/>
                <w:sz w:val="18"/>
                <w:szCs w:val="18"/>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 What is the core message?</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F">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8. What else do we know that will help the creative process?</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Dreamcatcher --- idea of yalor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unicorns &amp; cats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4">
            <w:pPr>
              <w:ind w:left="144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 Mandatories, guidelines, and why?</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Verdana" w:cs="Verdana" w:eastAsia="Verdana" w:hAnsi="Verdana"/>
                <w:sz w:val="18"/>
                <w:szCs w:val="18"/>
                <w:u w:val="no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 Deadlines</w:t>
            </w:r>
          </w:p>
        </w:tc>
      </w:tr>
      <w:tr>
        <w:trPr>
          <w:trHeight w:val="90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commentRangeStart w:id="0"/>
            <w:r w:rsidDel="00000000" w:rsidR="00000000" w:rsidRPr="00000000">
              <w:rPr>
                <w:rFonts w:ascii="Verdana" w:cs="Verdana" w:eastAsia="Verdana" w:hAnsi="Verdana"/>
                <w:sz w:val="18"/>
                <w:szCs w:val="18"/>
                <w:rtl w:val="0"/>
              </w:rPr>
              <w:t xml:space="preserve"> Design should be submitted in the first week of Feb. Deadline extension is second week of February.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 Budget</w:t>
            </w:r>
          </w:p>
        </w:tc>
      </w:tr>
    </w:tbl>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br w:type="textWrapping"/>
        <w:br w:type="textWrapping"/>
        <w:br w:type="textWrapping"/>
        <w:t xml:space="preserve">---</w:t>
        <w:br w:type="textWrapping"/>
        <w:br w:type="textWrapping"/>
        <w:t xml:space="preserve">Once these “general direction” questions have been answered; what will be the final products / assets needed from the graphic designers?</w:t>
        <w:br w:type="textWrapping"/>
        <w:br w:type="textWrapping"/>
        <w:t xml:space="preserve">i.e. </w:t>
        <w:br w:type="textWrapping"/>
        <w:br w:type="textWrapping"/>
        <w:t xml:space="preserve">- Thematic Logo</w:t>
        <w:br w:type="textWrapping"/>
        <w:t xml:space="preserve">- 777 Slot Machine Illustration</w:t>
        <w:br w:type="textWrapping"/>
        <w:t xml:space="preserve">- Thematic assets for a facebook campaign…</w:t>
        <w:br w:type="textWrapping"/>
        <w:t xml:space="preserve">(just examples)</w:t>
        <w:br w:type="textWrapping"/>
        <w:t xml:space="preserve">  </w:t>
      </w:r>
    </w:p>
    <w:p w:rsidR="00000000" w:rsidDel="00000000" w:rsidP="00000000" w:rsidRDefault="00000000" w:rsidRPr="00000000" w14:paraId="0000002F">
      <w:pPr>
        <w:contextualSpacing w:val="0"/>
        <w:rPr/>
      </w:pPr>
      <w:r w:rsidDel="00000000" w:rsidR="00000000" w:rsidRPr="00000000">
        <w:rPr>
          <w:rtl w:val="0"/>
        </w:rPr>
        <w:t xml:space="preserve">Kay - This is harder than I thought. Main problem: </w:t>
      </w:r>
      <w:commentRangeStart w:id="1"/>
      <w:commentRangeStart w:id="2"/>
      <w:commentRangeStart w:id="3"/>
      <w:commentRangeStart w:id="4"/>
      <w:r w:rsidDel="00000000" w:rsidR="00000000" w:rsidRPr="00000000">
        <w:rPr>
          <w:b w:val="1"/>
          <w:rtl w:val="0"/>
        </w:rPr>
        <w:t xml:space="preserve">Not enough knowledge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b w:val="1"/>
          <w:rtl w:val="0"/>
        </w:rPr>
        <w:t xml:space="preserve"> </w:t>
      </w:r>
      <w:r w:rsidDel="00000000" w:rsidR="00000000" w:rsidRPr="00000000">
        <w:rPr>
          <w:rtl w:val="0"/>
        </w:rPr>
        <w:t xml:space="preserve">about the actual 777 proposal and intended positive effect</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 Is" w:id="0" w:date="2018-01-28T14:26:01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date you checked with those people you know? What is the production time for which quantity? I got very good shirts ànd sweaters made for SC last time and production time was 1 week. Would prefer to spend more time on a well-thought out design and a bit less on production. Maybe you could already check with them for some prices, material timing etc?</w:t>
      </w:r>
    </w:p>
  </w:comment>
  <w:comment w:author="Alan Borger" w:id="1" w:date="2018-01-26T15:08:26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say ERC777 somewhere on the T-Shirt?</w:t>
      </w:r>
    </w:p>
  </w:comment>
  <w:comment w:author="Kay" w:id="2" w:date="2018-01-26T15:09:0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I think we need Griff here to explain more about the fundamentals. The why and how</w:t>
      </w:r>
    </w:p>
  </w:comment>
  <w:comment w:author="Kris Is" w:id="3" w:date="2018-01-27T07:08:37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so what I'd propose here is that we create generic new Giveth shirts, so that they have a longer lifetime and can be re-used, so not 777 shirts. For 777 I'd make a separate briefing and create some goodies that have a shorter production time. Would that be okay? I can also already tell you that there has already been some work on the 777 part when it comes to branding so chances are high that we don't need to do anything here, just print/produce those goodies. Griff is finding that info.</w:t>
      </w:r>
    </w:p>
  </w:comment>
  <w:comment w:author="Kay" w:id="4" w:date="2018-01-27T15:47:4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 is fine. I am in favor of keeping it simple.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