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BEFORE Placeholder</w:t>
      </w:r>
    </w:p>
    <w:p>
      <w:r>
        <w:t xml:space="preserve">AFTER</w:t>
      </w:r>
    </w:p>
    <w:p>
      <w:pPr>
        <w:pStyle w:val="Title"/>
      </w:pPr>
      <w:bookmarkStart w:name="security-schedule-(template)-—-third-party-supplier" w:id="1"/>
      <w:r>
        <w:t xml:space="preserve">Security Schedule (Template) — Third-Party Supplier</w:t>
      </w:r>
      <w:bookmarkEnd w:id="1"/>
    </w:p>
    <w:p>
      <w:r>
        <w:t xml:space="preserve">Document classification: Internal template (to be used in supplier contracts)</w:t>
      </w:r>
      <w:r>
        <w:br/>
      </w:r>
      <w:r>
        <w:t xml:space="preserve">Template owner: Legal Counsel (terms) / Security Engineering &amp; Architecture (controls)</w:t>
      </w:r>
      <w:r>
        <w:br/>
      </w:r>
      <w:r>
        <w:t xml:space="preserve">Privacy owner: DPO/Privacy Officer (where personal data applies)</w:t>
      </w:r>
      <w:r>
        <w:br/>
      </w:r>
      <w:r>
        <w:t xml:space="preserve">Version: 0.1</w:t>
      </w:r>
      <w:r>
        <w:br/>
      </w:r>
      <w:r>
        <w:t xml:space="preserve">Effective date: __________________</w:t>
      </w:r>
    </w:p>
    <w:p>
      <w:r>
        <w:t xml:space="preserve">Supplier: ___________________________ Service: _______________________________ Tier: [ ] Critical [ ] Important [ ] Low Contract reference: __________________ Effective date: ________________________</w:t>
      </w:r>
    </w:p>
    <w:p>
      <w:pPr>
        <w:pStyle w:val="Heading1"/>
      </w:pPr>
      <w:bookmarkStart w:name="1-purpose" w:id="1"/>
      <w:r>
        <w:t xml:space="preserve">1. Purpose</w:t>
      </w:r>
      <w:bookmarkEnd w:id="1"/>
    </w:p>
    <w:p>
      <w:r>
        <w:t xml:space="preserve">This Security Schedule sets out the minimum security obligations applicable to the Supplier for the Services in scope of this Agreement.</w:t>
      </w:r>
    </w:p>
    <w:p>
      <w:pPr>
        <w:pStyle w:val="Heading1"/>
      </w:pPr>
      <w:bookmarkStart w:name="2-scope" w:id="1"/>
      <w:r>
        <w:t xml:space="preserve">2. Scope</w:t>
      </w:r>
      <w:bookmarkEnd w:id="1"/>
    </w:p>
    <w:p>
      <w:r>
        <w:t xml:space="preserve">2.1 In-scope Services:</w:t>
      </w:r>
    </w:p>
    <w:p>
      <w:pPr>
        <w:pBdr>
          <w:top w:val="single" w:sz="6"/>
        </w:pBdr>
      </w:pPr>
    </w:p>
    <w:p>
      <w:r>
        <w:t xml:space="preserve">2.2 In-scope data types (tick): [ ] No organisational data [ ] Internal business data [ ] Personal data (PII) [ ] Financial data [ ] Authentication data/secrets [ ] Other: ___________________________</w:t>
      </w:r>
    </w:p>
    <w:p>
      <w:r>
        <w:t xml:space="preserve">2.3 In-scope integrations/access (tick): [ ] SSO access [ ] API integration (read) [ ] API integration (write) [ ] Agent/collector [ ] VPN/private link connectivity [ ] Inbound connectivity [ ] Privileged/administrative access to customer environment</w:t>
      </w:r>
    </w:p>
    <w:p>
      <w:pPr>
        <w:pStyle w:val="Heading1"/>
      </w:pPr>
      <w:bookmarkStart w:name="3-security-governance-and-points-of-contact" w:id="1"/>
      <w:r>
        <w:t xml:space="preserve">3. Security governance and points of contact</w:t>
      </w:r>
      <w:bookmarkEnd w:id="1"/>
    </w:p>
    <w:p>
      <w:r>
        <w:t xml:space="preserve">3.1 Supplier shall maintain a security program appropriate to the Services.</w:t>
      </w:r>
      <w:r>
        <w:br/>
      </w:r>
      <w:r>
        <w:t xml:space="preserve">3.2 Supplier shall provide and maintain current incident/security contacts:</w:t>
      </w:r>
    </w:p>
    <w:p>
      <w:pPr>
        <w:pStyle w:val="ListParagraph"/>
        <w:numPr>
          <w:ilvl w:val="0"/>
          <w:numId w:val="1"/>
        </w:numPr>
      </w:pPr>
      <w:r>
        <w:t xml:space="preserve">Primary contact (role title + contact method): _______________________________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Secondary contact (role title + contact method): _____________________________</w:t>
      </w:r>
    </w:p>
    <w:p>
      <w:r>
        <w:t xml:space="preserve">3.3 Supplier shall notify the Customer promptly of changes to these contacts.</w:t>
      </w:r>
    </w:p>
    <w:p>
      <w:pPr>
        <w:pStyle w:val="Heading1"/>
      </w:pPr>
      <w:bookmarkStart w:name="4-identity-and-access-controls" w:id="1"/>
      <w:r>
        <w:t xml:space="preserve">4. Identity and access controls</w:t>
      </w:r>
      <w:bookmarkEnd w:id="1"/>
    </w:p>
    <w:p>
      <w:r>
        <w:t xml:space="preserve">4.1 Administrative access</w:t>
      </w:r>
    </w:p>
    <w:p>
      <w:pPr>
        <w:pStyle w:val="ListParagraph"/>
        <w:numPr>
          <w:ilvl w:val="0"/>
          <w:numId w:val="1"/>
        </w:numPr>
      </w:pPr>
      <w:r>
        <w:t xml:space="preserve">Supplier shall enforce MFA for all administrative access to systems supporting the Services.</w:t>
      </w:r>
    </w:p>
    <w:p>
      <w:r>
        <w:t xml:space="preserve">4.2 SSO (where supported by the Service)</w:t>
      </w:r>
    </w:p>
    <w:p>
      <w:pPr>
        <w:pStyle w:val="ListParagraph"/>
        <w:numPr>
          <w:ilvl w:val="0"/>
          <w:numId w:val="1"/>
        </w:numPr>
      </w:pPr>
      <w:r>
        <w:t xml:space="preserve">Supplier shall support SSO (SAML/OIDC) for Customer user access where the Service supports it.</w:t>
      </w:r>
    </w:p>
    <w:p>
      <w:r>
        <w:t xml:space="preserve">4.3 Least privilege</w:t>
      </w:r>
    </w:p>
    <w:p>
      <w:pPr>
        <w:pStyle w:val="ListParagraph"/>
        <w:numPr>
          <w:ilvl w:val="0"/>
          <w:numId w:val="1"/>
        </w:numPr>
      </w:pPr>
      <w:r>
        <w:t xml:space="preserve">Supplier shall implement RBAC and least privilege access for Customer users and Supplier support personnel accessing Customer environments/tenants.</w:t>
      </w:r>
    </w:p>
    <w:p>
      <w:r>
        <w:t xml:space="preserve">4.4 Shared accounts</w:t>
      </w:r>
    </w:p>
    <w:p>
      <w:pPr>
        <w:pStyle w:val="ListParagraph"/>
        <w:numPr>
          <w:ilvl w:val="0"/>
          <w:numId w:val="1"/>
        </w:numPr>
      </w:pPr>
      <w:r>
        <w:t xml:space="preserve">Supplier shall not use shared accounts for administrative activities relating to the Customer’s environment except where strictly necessary and approved in writing with compensating controls.</w:t>
      </w:r>
    </w:p>
    <w:p>
      <w:pPr>
        <w:pStyle w:val="Heading1"/>
      </w:pPr>
      <w:bookmarkStart w:name="5-secure-configuration-and-change-management" w:id="1"/>
      <w:r>
        <w:t xml:space="preserve">5. Secure configuration and change management</w:t>
      </w:r>
      <w:bookmarkEnd w:id="1"/>
    </w:p>
    <w:p>
      <w:r>
        <w:t xml:space="preserve">5.1 Supplier shall maintain secure configuration practices appropriate to the Services.</w:t>
      </w:r>
      <w:r>
        <w:br/>
      </w:r>
      <w:r>
        <w:t xml:space="preserve">5.2 Supplier shall implement change controls for material changes that may affect security of the Services (e.g., identity controls, logging, network exposure, sub-processor changes).</w:t>
      </w:r>
      <w:r>
        <w:br/>
      </w:r>
      <w:r>
        <w:t xml:space="preserve">5.3 Supplier shall notify the Customer of material security-affecting changes in advance where practicable.</w:t>
      </w:r>
    </w:p>
    <w:p>
      <w:pPr>
        <w:pStyle w:val="Heading1"/>
      </w:pPr>
      <w:bookmarkStart w:name="6-logging-and-auditability" w:id="1"/>
      <w:r>
        <w:t xml:space="preserve">6. Logging and auditability</w:t>
      </w:r>
      <w:bookmarkEnd w:id="1"/>
    </w:p>
    <w:p>
      <w:r>
        <w:t xml:space="preserve">6.1 Supplier shall enable and retain audit logs appropriate to the Services, including (where supported):</w:t>
      </w:r>
    </w:p>
    <w:p>
      <w:pPr>
        <w:pStyle w:val="ListParagraph"/>
        <w:numPr>
          <w:ilvl w:val="0"/>
          <w:numId w:val="1"/>
        </w:numPr>
      </w:pPr>
      <w:r>
        <w:t xml:space="preserve">authentication events (success/failure) for relevant access</w:t>
      </w:r>
    </w:p>
    <w:p>
      <w:pPr>
        <w:pStyle w:val="ListParagraph"/>
        <w:numPr>
          <w:ilvl w:val="0"/>
          <w:numId w:val="1"/>
        </w:numPr>
      </w:pPr>
      <w:r>
        <w:t xml:space="preserve">administrative actions (role/policy/configuration changes)</w:t>
      </w:r>
    </w:p>
    <w:p>
      <w:pPr>
        <w:pStyle w:val="ListParagraph"/>
        <w:numPr>
          <w:ilvl w:val="0"/>
          <w:numId w:val="1"/>
        </w:numPr>
      </w:pPr>
      <w:r>
        <w:t xml:space="preserve">integration activity (API calls and especially write actions, if applicable)</w:t>
      </w:r>
    </w:p>
    <w:p>
      <w:r>
        <w:t xml:space="preserve">6.2 Supplier shall make relevant logs available to the Customer upon request for investigations and audit/assurance purposes, within an agreed timeframe.</w:t>
      </w:r>
    </w:p>
    <w:p>
      <w:r>
        <w:t xml:space="preserve">6.3 Log retention</w:t>
      </w:r>
    </w:p>
    <w:p>
      <w:pPr>
        <w:pStyle w:val="ListParagraph"/>
        <w:numPr>
          <w:ilvl w:val="0"/>
          <w:numId w:val="1"/>
        </w:numPr>
      </w:pPr>
      <w:r>
        <w:t xml:space="preserve">Supplier shall retain the above logs for: ________ months (or as otherwise agreed).</w:t>
      </w:r>
    </w:p>
    <w:p>
      <w:pPr>
        <w:pStyle w:val="Heading1"/>
      </w:pPr>
      <w:bookmarkStart w:name="7-vulnerability-management-and-security-testing" w:id="1"/>
      <w:r>
        <w:t xml:space="preserve">7. Vulnerability management and security testing</w:t>
      </w:r>
      <w:bookmarkEnd w:id="1"/>
    </w:p>
    <w:p>
      <w:r>
        <w:t xml:space="preserve">7.1 Supplier shall maintain a documented vulnerability management process and remediate vulnerabilities in a timely manner appropriate to risk.</w:t>
      </w:r>
      <w:r>
        <w:br/>
      </w:r>
      <w:r>
        <w:t xml:space="preserve">7.2 Supplier shall provide evidence of appropriate security testing/assurance for the Services upon request (executive summaries acceptable), including remediation status for material findings where applicable.</w:t>
      </w:r>
    </w:p>
    <w:p>
      <w:pPr>
        <w:pStyle w:val="Heading1"/>
      </w:pPr>
      <w:bookmarkStart w:name="8-incident-notification-and-cooperation" w:id="1"/>
      <w:r>
        <w:t xml:space="preserve">8. Incident notification and cooperation</w:t>
      </w:r>
      <w:bookmarkEnd w:id="1"/>
    </w:p>
    <w:p>
      <w:r>
        <w:t xml:space="preserve">8.1 Incident notification Supplier shall notify the Customer of any material security incident affecting the Services or Customer data within: ________ (timeframe to be agreed by tier and service criticality).</w:t>
      </w:r>
    </w:p>
    <w:p>
      <w:r>
        <w:t xml:space="preserve">8.2 Content of notification Notifications shall include, as available:</w:t>
      </w:r>
    </w:p>
    <w:p>
      <w:pPr>
        <w:pStyle w:val="ListParagraph"/>
        <w:numPr>
          <w:ilvl w:val="0"/>
          <w:numId w:val="1"/>
        </w:numPr>
      </w:pPr>
      <w:r>
        <w:t xml:space="preserve">incident summary and current status</w:t>
      </w:r>
    </w:p>
    <w:p>
      <w:pPr>
        <w:pStyle w:val="ListParagraph"/>
        <w:numPr>
          <w:ilvl w:val="0"/>
          <w:numId w:val="1"/>
        </w:numPr>
      </w:pPr>
      <w:r>
        <w:t xml:space="preserve">affected systems and Customer scope/tenancy impact (confirmed/unknown)</w:t>
      </w:r>
    </w:p>
    <w:p>
      <w:pPr>
        <w:pStyle w:val="ListParagraph"/>
        <w:numPr>
          <w:ilvl w:val="0"/>
          <w:numId w:val="1"/>
        </w:numPr>
      </w:pPr>
      <w:r>
        <w:t xml:space="preserve">data types potentially affected</w:t>
      </w:r>
    </w:p>
    <w:p>
      <w:pPr>
        <w:pStyle w:val="ListParagraph"/>
        <w:numPr>
          <w:ilvl w:val="0"/>
          <w:numId w:val="1"/>
        </w:numPr>
      </w:pPr>
      <w:r>
        <w:t xml:space="preserve">containment actions taken and recommended Customer actions</w:t>
      </w:r>
    </w:p>
    <w:p>
      <w:pPr>
        <w:pStyle w:val="ListParagraph"/>
        <w:numPr>
          <w:ilvl w:val="0"/>
          <w:numId w:val="1"/>
        </w:numPr>
      </w:pPr>
      <w:r>
        <w:t xml:space="preserve">next update time and update cadence</w:t>
      </w:r>
    </w:p>
    <w:p>
      <w:r>
        <w:t xml:space="preserve">8.3 Cooperation Supplier shall cooperate with the Customer’s investigation and response, including providing relevant logs/evidence and periodic updates until closure.</w:t>
      </w:r>
    </w:p>
    <w:p>
      <w:r>
        <w:t xml:space="preserve">8.4 Post-incident report For material incidents, Supplier shall provide a post-incident report (RCA) including timeline, root cause, corrective actions, and target dates.</w:t>
      </w:r>
    </w:p>
    <w:p>
      <w:pPr>
        <w:pStyle w:val="Heading1"/>
      </w:pPr>
      <w:bookmarkStart w:name="9-sub-processors-/-outsourcing" w:id="1"/>
      <w:r>
        <w:t xml:space="preserve">9. Sub-processors / outsourcing</w:t>
      </w:r>
      <w:bookmarkEnd w:id="1"/>
    </w:p>
    <w:p>
      <w:r>
        <w:t xml:space="preserve">9.1 Supplier shall maintain and provide a list of sub-processors used to deliver the Services (where applicable).</w:t>
      </w:r>
      <w:r>
        <w:br/>
      </w:r>
      <w:r>
        <w:t xml:space="preserve">9.2 Supplier shall notify the Customer of material sub-processor changes affecting the Services within: ________ (timeframe) and ensure security obligations are flowed down to sub-processors.</w:t>
      </w:r>
      <w:r>
        <w:br/>
      </w:r>
      <w:r>
        <w:t xml:space="preserve">9.3 Supplier remains responsible for the acts and omissions of sub-processors.</w:t>
      </w:r>
    </w:p>
    <w:p>
      <w:pPr>
        <w:pStyle w:val="Heading1"/>
      </w:pPr>
      <w:bookmarkStart w:name="10-data-protection-and-privacy-(where-applicable)" w:id="1"/>
      <w:r>
        <w:t xml:space="preserve">10. Data protection and privacy (where applicable)</w:t>
      </w:r>
      <w:bookmarkEnd w:id="1"/>
    </w:p>
    <w:p>
      <w:r>
        <w:t xml:space="preserve">10.1 Where Supplier processes personal data on behalf of Customer, the parties shall enter into an appropriate data processing agreement/addendum (DPA), and Supplier shall comply with the DPA.</w:t>
      </w:r>
      <w:r>
        <w:br/>
      </w:r>
      <w:r>
        <w:t xml:space="preserve">10.2 Supplier shall support data return and deletion obligations as set out in this Agreement/DPA and provide confirmation of deletion on request.</w:t>
      </w:r>
    </w:p>
    <w:p>
      <w:pPr>
        <w:pStyle w:val="Heading1"/>
      </w:pPr>
      <w:bookmarkStart w:name="11-resilience-and-recovery-(where-applicable)" w:id="1"/>
      <w:r>
        <w:t xml:space="preserve">11. Resilience and recovery (where applicable)</w:t>
      </w:r>
      <w:bookmarkEnd w:id="1"/>
    </w:p>
    <w:p>
      <w:r>
        <w:t xml:space="preserve">11.1 Supplier shall maintain resilience and recovery capabilities appropriate to the Services and their criticality.</w:t>
      </w:r>
      <w:r>
        <w:br/>
      </w:r>
      <w:r>
        <w:t xml:space="preserve">11.2 Supplier shall provide a high-level summary of backup/restore and recovery testing on request (summary acceptable).</w:t>
      </w:r>
    </w:p>
    <w:p>
      <w:pPr>
        <w:pStyle w:val="Heading1"/>
      </w:pPr>
      <w:bookmarkStart w:name="12-audit-and-assurance" w:id="1"/>
      <w:r>
        <w:t xml:space="preserve">12. Audit and assurance</w:t>
      </w:r>
      <w:bookmarkEnd w:id="1"/>
    </w:p>
    <w:p>
      <w:r>
        <w:t xml:space="preserve">12.1 On request, Supplier shall provide reasonable assurance evidence relevant to the Services (e.g., ISO certificate/scope, SOC report, pen test executive summary), subject to confidentiality restrictions.</w:t>
      </w:r>
      <w:r>
        <w:br/>
      </w:r>
      <w:r>
        <w:t xml:space="preserve">12.2 Where a material incident occurs, Supplier shall provide additional evidence and cooperation as reasonably required to understand impact and remediation.</w:t>
      </w:r>
    </w:p>
    <w:p>
      <w:pPr>
        <w:pStyle w:val="Heading1"/>
      </w:pPr>
      <w:bookmarkStart w:name="13-offboarding-and-termination-support" w:id="1"/>
      <w:r>
        <w:t xml:space="preserve">13. Offboarding and termination support</w:t>
      </w:r>
      <w:bookmarkEnd w:id="1"/>
    </w:p>
    <w:p>
      <w:r>
        <w:t xml:space="preserve">13.1 Upon termination/expiry, Supplier shall:</w:t>
      </w:r>
    </w:p>
    <w:p>
      <w:pPr>
        <w:pStyle w:val="ListParagraph"/>
        <w:numPr>
          <w:ilvl w:val="0"/>
          <w:numId w:val="1"/>
        </w:numPr>
      </w:pPr>
      <w:r>
        <w:t xml:space="preserve">remove Supplier access to Customer systems/environments (where applicable)</w:t>
      </w:r>
    </w:p>
    <w:p>
      <w:pPr>
        <w:pStyle w:val="ListParagraph"/>
        <w:numPr>
          <w:ilvl w:val="0"/>
          <w:numId w:val="1"/>
        </w:numPr>
      </w:pPr>
      <w:r>
        <w:t xml:space="preserve">support removal of integrations/connectivity</w:t>
      </w:r>
    </w:p>
    <w:p>
      <w:pPr>
        <w:pStyle w:val="ListParagraph"/>
        <w:numPr>
          <w:ilvl w:val="0"/>
          <w:numId w:val="1"/>
        </w:numPr>
      </w:pPr>
      <w:r>
        <w:t xml:space="preserve">return Customer data (if applicable) and securely delete Customer data per agreed terms 13.2 Supplier shall provide deletion/destruction confirmation upon request.</w:t>
      </w:r>
    </w:p>
    <w:p>
      <w:pPr>
        <w:pStyle w:val="Heading1"/>
      </w:pPr>
      <w:bookmarkStart w:name="14-exceptions" w:id="1"/>
      <w:r>
        <w:t xml:space="preserve">14. Exceptions</w:t>
      </w:r>
      <w:bookmarkEnd w:id="1"/>
    </w:p>
    <w:p>
      <w:r>
        <w:t xml:space="preserve">Any deviations from this Security Schedule must be:</w:t>
      </w:r>
    </w:p>
    <w:p>
      <w:pPr>
        <w:pStyle w:val="ListParagraph"/>
        <w:numPr>
          <w:ilvl w:val="0"/>
          <w:numId w:val="1"/>
        </w:numPr>
      </w:pPr>
      <w:r>
        <w:t xml:space="preserve">documented (including scope and rationale)</w:t>
      </w:r>
    </w:p>
    <w:p>
      <w:pPr>
        <w:pStyle w:val="ListParagraph"/>
        <w:numPr>
          <w:ilvl w:val="0"/>
          <w:numId w:val="1"/>
        </w:numPr>
      </w:pPr>
      <w:r>
        <w:t xml:space="preserve">time-bound with remediation plan where applicable</w:t>
      </w:r>
    </w:p>
    <w:p>
      <w:pPr>
        <w:pStyle w:val="ListParagraph"/>
        <w:numPr>
          <w:ilvl w:val="0"/>
          <w:numId w:val="1"/>
        </w:numPr>
      </w:pPr>
      <w:r>
        <w:t xml:space="preserve">approved in accordance with the Customer’s third-party security exception process</w:t>
      </w:r>
    </w:p>
    <w:p>
      <w:pPr>
        <w:pStyle w:val="Heading1"/>
      </w:pPr>
      <w:bookmarkStart w:name="15-order-of-precedence" w:id="1"/>
      <w:r>
        <w:t xml:space="preserve">15. Order of precedence</w:t>
      </w:r>
      <w:bookmarkEnd w:id="1"/>
    </w:p>
    <w:p>
      <w:r>
        <w:t xml:space="preserve">In the event of conflict between this Security Schedule and other terms of the Agreement, the parties shall specify order of precedence here:</w:t>
      </w:r>
    </w:p>
    <w:p>
      <w:pPr>
        <w:pBdr>
          <w:top w:val="single" w:sz="6"/>
        </w:pBdr>
      </w:pPr>
    </w:p>
    <w:sectPr>
      <w:pgSz w:w="11906" w:h="16838" w:orient="portrait"/>
      <w:pgMar w:top="1360" w:right="1360" w:bottom="1360" w:left="13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2026-05-19T10:45:05.856Z</dcterms:created>
  <dcterms:modified xsi:type="dcterms:W3CDTF">2026-05-19T10:45:05.856Z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