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Generic Security Schedule template with placeholders</w:t>
      </w:r>
    </w:p>
    <w:p>
      <w:r>
        <w:t xml:space="preserve">AFTER</w:t>
      </w:r>
    </w:p>
    <w:p>
      <w:pPr>
        <w:pStyle w:val="Title"/>
      </w:pPr>
      <w:bookmarkStart w:name="security-schedule-—-critical-tier-(tier-1)-(template)" w:id="1"/>
      <w:r>
        <w:t xml:space="preserve">Security Schedule — Critical Tier (Tier 1) (Template)</w:t>
      </w:r>
      <w:bookmarkEnd w:id="1"/>
    </w:p>
    <w:p>
      <w:r>
        <w:t xml:space="preserve">Document classification: Internal template (to be used in supplier contracts)</w:t>
      </w:r>
      <w:r>
        <w:br/>
      </w:r>
      <w:r>
        <w:t xml:space="preserve">Template owner: Legal Counsel (terms) / Security Engineering &amp; Architecture (controls)</w:t>
      </w:r>
      <w:r>
        <w:br/>
      </w:r>
      <w:r>
        <w:t xml:space="preserve">Privacy owner: DPO/Privacy Officer (where personal data applies)</w:t>
      </w:r>
      <w:r>
        <w:br/>
      </w:r>
      <w:r>
        <w:t xml:space="preserve">Version: 0.1 (Critical-tier default)</w:t>
      </w:r>
      <w:r>
        <w:br/>
      </w:r>
      <w:r>
        <w:t xml:space="preserve">Effective date: __________________</w:t>
      </w:r>
    </w:p>
    <w:p>
      <w:r>
        <w:t xml:space="preserve">Supplier: ___________________________ Service: _______________________________ Tier: Critical (Tier 1)</w:t>
      </w:r>
      <w:r>
        <w:br/>
      </w:r>
      <w:r>
        <w:t xml:space="preserve">Contract reference: __________________ Effective date: ________________________</w:t>
      </w:r>
    </w:p>
    <w:p>
      <w:pPr>
        <w:pStyle w:val="Heading1"/>
      </w:pPr>
      <w:bookmarkStart w:name="1-purpose" w:id="1"/>
      <w:r>
        <w:t xml:space="preserve">1. Purpose</w:t>
      </w:r>
      <w:bookmarkEnd w:id="1"/>
    </w:p>
    <w:p>
      <w:r>
        <w:t xml:space="preserve">This Security Schedule sets out the minimum security obligations applicable to the Supplier for the Critical-tier Services in scope of this Agreement.</w:t>
      </w:r>
    </w:p>
    <w:p>
      <w:pPr>
        <w:pStyle w:val="Heading1"/>
      </w:pPr>
      <w:bookmarkStart w:name="2-scope" w:id="1"/>
      <w:r>
        <w:t xml:space="preserve">2. Scope</w:t>
      </w:r>
      <w:bookmarkEnd w:id="1"/>
    </w:p>
    <w:p>
      <w:r>
        <w:t xml:space="preserve">2.1 In-scope Services:</w:t>
      </w:r>
    </w:p>
    <w:p>
      <w:pPr>
        <w:pBdr>
          <w:top w:val="single" w:sz="6"/>
        </w:pBdr>
      </w:pPr>
    </w:p>
    <w:p>
      <w:r>
        <w:t xml:space="preserve">2.2 In-scope data types (tick): [ ] Internal business data [ ] Personal data (PII) [ ] Financial data [ ] Authentication data/secrets [ ] Other: ___________________________</w:t>
      </w:r>
    </w:p>
    <w:p>
      <w:r>
        <w:t xml:space="preserve">2.3 In-scope integrations/access (tick): [ ] SSO access [ ] API integration (read) [ ] API integration (write) [ ] Agent/collector [ ] VPN/private link connectivity [ ] Inbound connectivity (requires explicit approval) [ ] Privileged/administrative access to customer environment</w:t>
      </w:r>
    </w:p>
    <w:p>
      <w:pPr>
        <w:pStyle w:val="Heading1"/>
      </w:pPr>
      <w:bookmarkStart w:name="3-security-governance-and-points-of-contact" w:id="1"/>
      <w:r>
        <w:t xml:space="preserve">3. Security governance and points of contact</w:t>
      </w:r>
      <w:bookmarkEnd w:id="1"/>
    </w:p>
    <w:p>
      <w:r>
        <w:t xml:space="preserve">3.1 Supplier shall maintain a security program appropriate to the Services and their Critical-tier classification.</w:t>
      </w:r>
      <w:r>
        <w:br/>
      </w:r>
      <w:r>
        <w:t xml:space="preserve">3.2 Supplier shall provide incident/security contacts (24x7 for Severity 1 incidents):</w:t>
      </w:r>
    </w:p>
    <w:p>
      <w:pPr>
        <w:pStyle w:val="ListParagraph"/>
        <w:numPr>
          <w:ilvl w:val="0"/>
          <w:numId w:val="1"/>
        </w:numPr>
      </w:pPr>
      <w:r>
        <w:t xml:space="preserve">Primary contact (role title + email + phone): 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Secondary contact (role title + email + phone): ______________________________ 3.3 Supplier shall maintain an escalation path for non-responsiveness.</w:t>
      </w:r>
    </w:p>
    <w:p>
      <w:pPr>
        <w:pStyle w:val="Heading1"/>
      </w:pPr>
      <w:bookmarkStart w:name="4-identity-and-access-controls" w:id="1"/>
      <w:r>
        <w:t xml:space="preserve">4. Identity and access controls</w:t>
      </w:r>
      <w:bookmarkEnd w:id="1"/>
    </w:p>
    <w:p>
      <w:r>
        <w:t xml:space="preserve">4.1 Administrative access</w:t>
      </w:r>
    </w:p>
    <w:p>
      <w:pPr>
        <w:pStyle w:val="ListParagraph"/>
        <w:numPr>
          <w:ilvl w:val="0"/>
          <w:numId w:val="1"/>
        </w:numPr>
      </w:pPr>
      <w:r>
        <w:t xml:space="preserve">Supplier shall enforce MFA for all administrative access to systems supporting the Services, including Supplier support access where applicable.</w:t>
      </w:r>
    </w:p>
    <w:p>
      <w:r>
        <w:t xml:space="preserve">4.2 SSO</w:t>
      </w:r>
    </w:p>
    <w:p>
      <w:pPr>
        <w:pStyle w:val="ListParagraph"/>
        <w:numPr>
          <w:ilvl w:val="0"/>
          <w:numId w:val="1"/>
        </w:numPr>
      </w:pPr>
      <w:r>
        <w:t xml:space="preserve">Where supported, Supplier shall support and enable SSO (SAML/OIDC) for Customer user access. Any inability to support SSO must be documented and approved with compensating controls and a remediation plan.</w:t>
      </w:r>
    </w:p>
    <w:p>
      <w:r>
        <w:t xml:space="preserve">4.3 Least privilege</w:t>
      </w:r>
    </w:p>
    <w:p>
      <w:pPr>
        <w:pStyle w:val="ListParagraph"/>
        <w:numPr>
          <w:ilvl w:val="0"/>
          <w:numId w:val="1"/>
        </w:numPr>
      </w:pPr>
      <w:r>
        <w:t xml:space="preserve">Supplier shall implement RBAC and least privilege access for Customer users and Supplier support personnel.</w:t>
      </w:r>
    </w:p>
    <w:p>
      <w:pPr>
        <w:pStyle w:val="ListParagraph"/>
        <w:numPr>
          <w:ilvl w:val="0"/>
          <w:numId w:val="1"/>
        </w:numPr>
      </w:pPr>
      <w:r>
        <w:t xml:space="preserve">Global/tenant admin roles shall be restricted to named individuals and kept to the minimum necessary.</w:t>
      </w:r>
    </w:p>
    <w:p>
      <w:r>
        <w:t xml:space="preserve">4.4 Shared accounts</w:t>
      </w:r>
    </w:p>
    <w:p>
      <w:pPr>
        <w:pStyle w:val="ListParagraph"/>
        <w:numPr>
          <w:ilvl w:val="0"/>
          <w:numId w:val="1"/>
        </w:numPr>
      </w:pPr>
      <w:r>
        <w:t xml:space="preserve">Shared accounts for administrative activity are prohibited unless expressly approved in writing with compensating controls.</w:t>
      </w:r>
    </w:p>
    <w:p>
      <w:r>
        <w:t xml:space="preserve">4.5 Privileged support access (if applicable)</w:t>
      </w:r>
    </w:p>
    <w:p>
      <w:pPr>
        <w:pStyle w:val="ListParagraph"/>
        <w:numPr>
          <w:ilvl w:val="0"/>
          <w:numId w:val="1"/>
        </w:numPr>
      </w:pPr>
      <w:r>
        <w:t xml:space="preserve">Supplier shall ensure privileged support access is approved, auditable, and time-bounded where feasible, and that administrative actions are logged.</w:t>
      </w:r>
    </w:p>
    <w:p>
      <w:pPr>
        <w:pStyle w:val="Heading1"/>
      </w:pPr>
      <w:bookmarkStart w:name="5-secure-configuration-and-change-management" w:id="1"/>
      <w:r>
        <w:t xml:space="preserve">5. Secure configuration and change management</w:t>
      </w:r>
      <w:bookmarkEnd w:id="1"/>
    </w:p>
    <w:p>
      <w:r>
        <w:t xml:space="preserve">5.1 Supplier shall maintain secure configuration practices appropriate to the Services.</w:t>
      </w:r>
      <w:r>
        <w:br/>
      </w:r>
      <w:r>
        <w:t xml:space="preserve">5.2 Supplier shall operate change controls for material changes affecting security posture, including changes to:</w:t>
      </w:r>
    </w:p>
    <w:p>
      <w:pPr>
        <w:pStyle w:val="ListParagraph"/>
        <w:numPr>
          <w:ilvl w:val="0"/>
          <w:numId w:val="1"/>
        </w:numPr>
      </w:pPr>
      <w:r>
        <w:t xml:space="preserve">identity and access controls</w:t>
      </w:r>
    </w:p>
    <w:p>
      <w:pPr>
        <w:pStyle w:val="ListParagraph"/>
        <w:numPr>
          <w:ilvl w:val="0"/>
          <w:numId w:val="1"/>
        </w:numPr>
      </w:pPr>
      <w:r>
        <w:t xml:space="preserve">logging/retention</w:t>
      </w:r>
    </w:p>
    <w:p>
      <w:pPr>
        <w:pStyle w:val="ListParagraph"/>
        <w:numPr>
          <w:ilvl w:val="0"/>
          <w:numId w:val="1"/>
        </w:numPr>
      </w:pPr>
      <w:r>
        <w:t xml:space="preserve">connectivity patterns and exposure</w:t>
      </w:r>
    </w:p>
    <w:p>
      <w:pPr>
        <w:pStyle w:val="ListParagraph"/>
        <w:numPr>
          <w:ilvl w:val="0"/>
          <w:numId w:val="1"/>
        </w:numPr>
      </w:pPr>
      <w:r>
        <w:t xml:space="preserve">hosting regions/residency (where applicable)</w:t>
      </w:r>
    </w:p>
    <w:p>
      <w:pPr>
        <w:pStyle w:val="ListParagraph"/>
        <w:numPr>
          <w:ilvl w:val="0"/>
          <w:numId w:val="1"/>
        </w:numPr>
      </w:pPr>
      <w:r>
        <w:t xml:space="preserve">material sub-processors and outsourcing arrangements</w:t>
      </w:r>
    </w:p>
    <w:p>
      <w:r>
        <w:t xml:space="preserve">5.3 Supplier shall provide advance notice of material security-affecting changes where practicable, and shall not materially reduce agreed controls for the Services without Customer approval.</w:t>
      </w:r>
    </w:p>
    <w:p>
      <w:pPr>
        <w:pStyle w:val="Heading1"/>
      </w:pPr>
      <w:bookmarkStart w:name="6-logging-and-auditability" w:id="1"/>
      <w:r>
        <w:t xml:space="preserve">6. Logging and auditability</w:t>
      </w:r>
      <w:bookmarkEnd w:id="1"/>
    </w:p>
    <w:p>
      <w:r>
        <w:t xml:space="preserve">6.1 Supplier shall enable and retain audit logs for the Services, including at minimum:</w:t>
      </w:r>
    </w:p>
    <w:p>
      <w:pPr>
        <w:pStyle w:val="ListParagraph"/>
        <w:numPr>
          <w:ilvl w:val="0"/>
          <w:numId w:val="1"/>
        </w:numPr>
      </w:pPr>
      <w:r>
        <w:t xml:space="preserve">authentication events (success/failure; MFA events where available)</w:t>
      </w:r>
    </w:p>
    <w:p>
      <w:pPr>
        <w:pStyle w:val="ListParagraph"/>
        <w:numPr>
          <w:ilvl w:val="0"/>
          <w:numId w:val="1"/>
        </w:numPr>
      </w:pPr>
      <w:r>
        <w:t xml:space="preserve">administrative actions (role/policy/configuration changes)</w:t>
      </w:r>
    </w:p>
    <w:p>
      <w:pPr>
        <w:pStyle w:val="ListParagraph"/>
        <w:numPr>
          <w:ilvl w:val="0"/>
          <w:numId w:val="1"/>
        </w:numPr>
      </w:pPr>
      <w:r>
        <w:t xml:space="preserve">integration activity (API activity; write actions where applicable)</w:t>
      </w:r>
    </w:p>
    <w:p>
      <w:pPr>
        <w:pStyle w:val="ListParagraph"/>
        <w:numPr>
          <w:ilvl w:val="0"/>
          <w:numId w:val="1"/>
        </w:numPr>
      </w:pPr>
      <w:r>
        <w:t xml:space="preserve">data export/access events where the Service supports this capability</w:t>
      </w:r>
    </w:p>
    <w:p>
      <w:r>
        <w:t xml:space="preserve">6.2 Supplier shall make relevant logs available to the Customer upon request for investigations and assurance purposes, and shall support time-bound log provision during incidents.</w:t>
      </w:r>
    </w:p>
    <w:p>
      <w:r>
        <w:t xml:space="preserve">6.3 Log retention</w:t>
      </w:r>
    </w:p>
    <w:p>
      <w:pPr>
        <w:pStyle w:val="ListParagraph"/>
        <w:numPr>
          <w:ilvl w:val="0"/>
          <w:numId w:val="1"/>
        </w:numPr>
      </w:pPr>
      <w:r>
        <w:t xml:space="preserve">Supplier shall retain the above logs for a minimum of </w:t>
      </w:r>
      <w:r>
        <w:rPr>
          <w:b/>
          <w:bCs/>
        </w:rPr>
        <w:t xml:space="preserve">12 months</w:t>
      </w:r>
      <w:r>
        <w:t xml:space="preserve"> (or longer where agreed by the parties).</w:t>
      </w:r>
    </w:p>
    <w:p>
      <w:pPr>
        <w:pStyle w:val="Heading1"/>
      </w:pPr>
      <w:bookmarkStart w:name="7-vulnerability-management-and-security-testing" w:id="1"/>
      <w:r>
        <w:t xml:space="preserve">7. Vulnerability management and security testing</w:t>
      </w:r>
      <w:bookmarkEnd w:id="1"/>
    </w:p>
    <w:p>
      <w:r>
        <w:t xml:space="preserve">7.1 Supplier shall maintain a documented vulnerability management process and remediate vulnerabilities in a timely manner appropriate to the Critical-tier risk.</w:t>
      </w:r>
      <w:r>
        <w:br/>
      </w:r>
      <w:r>
        <w:t xml:space="preserve">7.2 Supplier shall provide, on request, appropriate assurance evidence relevant to the Services, including:</w:t>
      </w:r>
    </w:p>
    <w:p>
      <w:pPr>
        <w:pStyle w:val="ListParagraph"/>
        <w:numPr>
          <w:ilvl w:val="0"/>
          <w:numId w:val="1"/>
        </w:numPr>
      </w:pPr>
      <w:r>
        <w:t xml:space="preserve">an independent security testing summary (executive summary acceptable) for the Services within the last </w:t>
      </w:r>
      <w:r>
        <w:rPr>
          <w:b/>
          <w:bCs/>
        </w:rPr>
        <w:t xml:space="preserve">12 months</w:t>
      </w:r>
      <w:r>
        <w:t xml:space="preserve">, and</w:t>
      </w:r>
    </w:p>
    <w:p>
      <w:pPr>
        <w:pStyle w:val="ListParagraph"/>
        <w:numPr>
          <w:ilvl w:val="0"/>
          <w:numId w:val="1"/>
        </w:numPr>
      </w:pPr>
      <w:r>
        <w:t xml:space="preserve">remediation status for material findings relevant to the Services.</w:t>
      </w:r>
    </w:p>
    <w:p>
      <w:r>
        <w:t xml:space="preserve">7.3 Supplier shall notify the Customer of material vulnerabilities affecting the Services where exploitation is known or reasonably suspected, together with mitigation guidance.</w:t>
      </w:r>
    </w:p>
    <w:p>
      <w:pPr>
        <w:pStyle w:val="Heading1"/>
      </w:pPr>
      <w:bookmarkStart w:name="8-incident-notification-and-cooperation" w:id="1"/>
      <w:r>
        <w:t xml:space="preserve">8. Incident notification and cooperation</w:t>
      </w:r>
      <w:bookmarkEnd w:id="1"/>
    </w:p>
    <w:p>
      <w:r>
        <w:t xml:space="preserve">8.1 Incident notification timeframe Supplier shall notify the Customer of any </w:t>
      </w:r>
      <w:r>
        <w:rPr>
          <w:b/>
          <w:bCs/>
        </w:rPr>
        <w:t xml:space="preserve">material security incident</w:t>
      </w:r>
      <w:r>
        <w:t xml:space="preserve"> affecting the Services and/or Customer data: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within 24 hours</w:t>
      </w:r>
      <w:r>
        <w:t xml:space="preserve"> of confirmation, and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without undue delay</w:t>
      </w:r>
      <w:r>
        <w:t xml:space="preserve"> where the incident is suspected to materially affect the Customer (even if details are incomplete).</w:t>
      </w:r>
    </w:p>
    <w:p>
      <w:r>
        <w:t xml:space="preserve">8.2 Minimum notification content Notifications shall include, as available:</w:t>
      </w:r>
    </w:p>
    <w:p>
      <w:pPr>
        <w:pStyle w:val="ListParagraph"/>
        <w:numPr>
          <w:ilvl w:val="0"/>
          <w:numId w:val="1"/>
        </w:numPr>
      </w:pPr>
      <w:r>
        <w:t xml:space="preserve">incident summary, start/detection timestamps, current status</w:t>
      </w:r>
    </w:p>
    <w:p>
      <w:pPr>
        <w:pStyle w:val="ListParagraph"/>
        <w:numPr>
          <w:ilvl w:val="0"/>
          <w:numId w:val="1"/>
        </w:numPr>
      </w:pPr>
      <w:r>
        <w:t xml:space="preserve">affected systems/environments and whether Customer scope is impacted (confirmed/unknown + ETA to confirm)</w:t>
      </w:r>
    </w:p>
    <w:p>
      <w:pPr>
        <w:pStyle w:val="ListParagraph"/>
        <w:numPr>
          <w:ilvl w:val="0"/>
          <w:numId w:val="1"/>
        </w:numPr>
      </w:pPr>
      <w:r>
        <w:t xml:space="preserve">data types potentially affected (PII/financial/auth secrets)</w:t>
      </w:r>
    </w:p>
    <w:p>
      <w:pPr>
        <w:pStyle w:val="ListParagraph"/>
        <w:numPr>
          <w:ilvl w:val="0"/>
          <w:numId w:val="1"/>
        </w:numPr>
      </w:pPr>
      <w:r>
        <w:t xml:space="preserve">containment actions taken and recommended Customer actions (e.g., token rotation)</w:t>
      </w:r>
    </w:p>
    <w:p>
      <w:pPr>
        <w:pStyle w:val="ListParagraph"/>
        <w:numPr>
          <w:ilvl w:val="0"/>
          <w:numId w:val="1"/>
        </w:numPr>
      </w:pPr>
      <w:r>
        <w:t xml:space="preserve">IOCs/detection guidance where available</w:t>
      </w:r>
    </w:p>
    <w:p>
      <w:pPr>
        <w:pStyle w:val="ListParagraph"/>
        <w:numPr>
          <w:ilvl w:val="0"/>
          <w:numId w:val="1"/>
        </w:numPr>
      </w:pPr>
      <w:r>
        <w:t xml:space="preserve">next update time and update cadence</w:t>
      </w:r>
    </w:p>
    <w:p>
      <w:r>
        <w:t xml:space="preserve">8.3 Update cadence For Severity 1 incidents impacting the Services, Supplier shall provide updates at least </w:t>
      </w:r>
      <w:r>
        <w:rPr>
          <w:b/>
          <w:bCs/>
        </w:rPr>
        <w:t xml:space="preserve">daily</w:t>
      </w:r>
      <w:r>
        <w:t xml:space="preserve"> (or more frequently as agreed) until containment and stabilisation.</w:t>
      </w:r>
    </w:p>
    <w:p>
      <w:r>
        <w:t xml:space="preserve">8.4 Cooperation Supplier shall cooperate with Customer’s investigation and response, including providing relevant logs/evidence and responding to information requests in a timely manner.</w:t>
      </w:r>
    </w:p>
    <w:p>
      <w:r>
        <w:t xml:space="preserve">8.5 Post-incident report For material incidents, Supplier shall provide a post-incident report (RCA) within </w:t>
      </w:r>
      <w:r>
        <w:rPr>
          <w:b/>
          <w:bCs/>
        </w:rPr>
        <w:t xml:space="preserve">10 business days</w:t>
      </w:r>
      <w:r>
        <w:t xml:space="preserve"> (or an agreed timeframe), including timeline, root cause, corrective actions, and target dates.</w:t>
      </w:r>
    </w:p>
    <w:p>
      <w:pPr>
        <w:pStyle w:val="Heading1"/>
      </w:pPr>
      <w:bookmarkStart w:name="9-sub-processors-/-outsourcing" w:id="1"/>
      <w:r>
        <w:t xml:space="preserve">9. Sub-processors / outsourcing</w:t>
      </w:r>
      <w:bookmarkEnd w:id="1"/>
    </w:p>
    <w:p>
      <w:r>
        <w:t xml:space="preserve">9.1 Supplier shall provide and maintain a list of sub-processors used to deliver the Services.</w:t>
      </w:r>
      <w:r>
        <w:br/>
      </w:r>
      <w:r>
        <w:t xml:space="preserve">9.2 Supplier shall notify the Customer of material sub-processor changes affecting the Services at least </w:t>
      </w:r>
      <w:r>
        <w:rPr>
          <w:b/>
          <w:bCs/>
        </w:rPr>
        <w:t xml:space="preserve">30 days</w:t>
      </w:r>
      <w:r>
        <w:t xml:space="preserve"> in advance where practicable, and in any event without undue delay, and shall ensure equivalent security obligations are flowed down to sub-processors.</w:t>
      </w:r>
      <w:r>
        <w:br/>
      </w:r>
      <w:r>
        <w:t xml:space="preserve">9.3 Supplier remains responsible for the acts and omissions of sub-processors.</w:t>
      </w:r>
    </w:p>
    <w:p>
      <w:pPr>
        <w:pStyle w:val="Heading1"/>
      </w:pPr>
      <w:bookmarkStart w:name="10-data-protection-and-privacy-(where-applicable)" w:id="1"/>
      <w:r>
        <w:t xml:space="preserve">10. Data protection and privacy (where applicable)</w:t>
      </w:r>
      <w:bookmarkEnd w:id="1"/>
    </w:p>
    <w:p>
      <w:r>
        <w:t xml:space="preserve">10.1 If Supplier processes personal data on behalf of Customer, the parties shall enter into a DPA and Supplier shall comply with the DPA.</w:t>
      </w:r>
      <w:r>
        <w:br/>
      </w:r>
      <w:r>
        <w:t xml:space="preserve">10.2 Supplier shall support data return and secure deletion obligations and shall provide deletion/destruction confirmation upon request.</w:t>
      </w:r>
      <w:r>
        <w:br/>
      </w:r>
      <w:r>
        <w:t xml:space="preserve">10.3 Supplier shall notify the Customer of any personal data breach affecting the Services in accordance with Section 8, and provide information reasonably required for breach assessment and any notifications.</w:t>
      </w:r>
    </w:p>
    <w:p>
      <w:pPr>
        <w:pStyle w:val="Heading1"/>
      </w:pPr>
      <w:bookmarkStart w:name="11-resilience-and-recovery" w:id="1"/>
      <w:r>
        <w:t xml:space="preserve">11. Resilience and recovery</w:t>
      </w:r>
      <w:bookmarkEnd w:id="1"/>
    </w:p>
    <w:p>
      <w:r>
        <w:t xml:space="preserve">11.1 Supplier shall maintain resilience and recovery capabilities appropriate to the Critical-tier Services.</w:t>
      </w:r>
      <w:r>
        <w:br/>
      </w:r>
      <w:r>
        <w:t xml:space="preserve">11.2 Supplier shall provide a high-level summary of backup/restore and recovery testing on request (summary acceptable).</w:t>
      </w:r>
      <w:r>
        <w:br/>
      </w:r>
      <w:r>
        <w:t xml:space="preserve">11.3 Where the Services support a critical business service, Supplier shall provide restoration expectations and known limitations/dependencies.</w:t>
      </w:r>
    </w:p>
    <w:p>
      <w:pPr>
        <w:pStyle w:val="Heading1"/>
      </w:pPr>
      <w:bookmarkStart w:name="12-audit-and-assurance" w:id="1"/>
      <w:r>
        <w:t xml:space="preserve">12. Audit and assurance</w:t>
      </w:r>
      <w:bookmarkEnd w:id="1"/>
    </w:p>
    <w:p>
      <w:r>
        <w:t xml:space="preserve">12.1 Supplier shall, on request and subject to confidentiality restrictions, provide reasonable assurance evidence relevant to the Services, including one or more of:</w:t>
      </w:r>
    </w:p>
    <w:p>
      <w:pPr>
        <w:pStyle w:val="ListParagraph"/>
        <w:numPr>
          <w:ilvl w:val="0"/>
          <w:numId w:val="1"/>
        </w:numPr>
      </w:pPr>
      <w:r>
        <w:t xml:space="preserve">ISO 27001 certificate and scope, and/or</w:t>
      </w:r>
    </w:p>
    <w:p>
      <w:pPr>
        <w:pStyle w:val="ListParagraph"/>
        <w:numPr>
          <w:ilvl w:val="0"/>
          <w:numId w:val="1"/>
        </w:numPr>
      </w:pPr>
      <w:r>
        <w:t xml:space="preserve">SOC report, and/or</w:t>
      </w:r>
    </w:p>
    <w:p>
      <w:pPr>
        <w:pStyle w:val="ListParagraph"/>
        <w:numPr>
          <w:ilvl w:val="0"/>
          <w:numId w:val="1"/>
        </w:numPr>
      </w:pPr>
      <w:r>
        <w:t xml:space="preserve">penetration test executive summary and remediation status.</w:t>
      </w:r>
    </w:p>
    <w:p>
      <w:r>
        <w:t xml:space="preserve">12.2 Following a material incident affecting the Services, Supplier shall provide additional evidence reasonably required to understand impact and remediation.</w:t>
      </w:r>
    </w:p>
    <w:p>
      <w:pPr>
        <w:pStyle w:val="Heading1"/>
      </w:pPr>
      <w:bookmarkStart w:name="13-offboarding-and-termination-support" w:id="1"/>
      <w:r>
        <w:t xml:space="preserve">13. Offboarding and termination support</w:t>
      </w:r>
      <w:bookmarkEnd w:id="1"/>
    </w:p>
    <w:p>
      <w:r>
        <w:t xml:space="preserve">13.1 Upon termination/expiry, Supplier shall:</w:t>
      </w:r>
    </w:p>
    <w:p>
      <w:pPr>
        <w:pStyle w:val="ListParagraph"/>
        <w:numPr>
          <w:ilvl w:val="0"/>
          <w:numId w:val="1"/>
        </w:numPr>
      </w:pPr>
      <w:r>
        <w:t xml:space="preserve">remove Supplier access to Customer systems/environments (where applicable)</w:t>
      </w:r>
    </w:p>
    <w:p>
      <w:pPr>
        <w:pStyle w:val="ListParagraph"/>
        <w:numPr>
          <w:ilvl w:val="0"/>
          <w:numId w:val="1"/>
        </w:numPr>
      </w:pPr>
      <w:r>
        <w:t xml:space="preserve">support removal of integrations/connectivity</w:t>
      </w:r>
    </w:p>
    <w:p>
      <w:pPr>
        <w:pStyle w:val="ListParagraph"/>
        <w:numPr>
          <w:ilvl w:val="0"/>
          <w:numId w:val="1"/>
        </w:numPr>
      </w:pPr>
      <w:r>
        <w:t xml:space="preserve">return Customer data (if applicable) and securely delete Customer data, including from systems used to provide the Services, in accordance with agreed terms 13.2 Supplier shall provide deletion/destruction confirmation upon request.</w:t>
      </w:r>
    </w:p>
    <w:p>
      <w:pPr>
        <w:pStyle w:val="Heading1"/>
      </w:pPr>
      <w:bookmarkStart w:name="14-exceptions" w:id="1"/>
      <w:r>
        <w:t xml:space="preserve">14. Exceptions</w:t>
      </w:r>
      <w:bookmarkEnd w:id="1"/>
    </w:p>
    <w:p>
      <w:r>
        <w:t xml:space="preserve">Any deviations from this Critical-tier Security Schedule must be:</w:t>
      </w:r>
    </w:p>
    <w:p>
      <w:pPr>
        <w:pStyle w:val="ListParagraph"/>
        <w:numPr>
          <w:ilvl w:val="0"/>
          <w:numId w:val="1"/>
        </w:numPr>
      </w:pPr>
      <w:r>
        <w:t xml:space="preserve">documented (scope + rationale)</w:t>
      </w:r>
    </w:p>
    <w:p>
      <w:pPr>
        <w:pStyle w:val="ListParagraph"/>
        <w:numPr>
          <w:ilvl w:val="0"/>
          <w:numId w:val="1"/>
        </w:numPr>
      </w:pPr>
      <w:r>
        <w:t xml:space="preserve">approved in writing by the Customer</w:t>
      </w:r>
    </w:p>
    <w:p>
      <w:pPr>
        <w:pStyle w:val="ListParagraph"/>
        <w:numPr>
          <w:ilvl w:val="0"/>
          <w:numId w:val="1"/>
        </w:numPr>
      </w:pPr>
      <w:r>
        <w:t xml:space="preserve">time-bound with remediation plan and target dates where applicable</w:t>
      </w:r>
    </w:p>
    <w:p>
      <w:pPr>
        <w:pStyle w:val="ListParagraph"/>
        <w:numPr>
          <w:ilvl w:val="0"/>
          <w:numId w:val="1"/>
        </w:numPr>
      </w:pPr>
      <w:r>
        <w:t xml:space="preserve">tracked through the Customer’s third‑party security exception process</w:t>
      </w:r>
    </w:p>
    <w:p>
      <w:pPr>
        <w:pStyle w:val="Heading1"/>
      </w:pPr>
      <w:bookmarkStart w:name="15-order-of-precedence" w:id="1"/>
      <w:r>
        <w:t xml:space="preserve">15. Order of precedence</w:t>
      </w:r>
      <w:bookmarkEnd w:id="1"/>
    </w:p>
    <w:p>
      <w:r>
        <w:t xml:space="preserve">This Security Schedule shall take precedence over general security statements or supplier policies where conflicts exist, to the extent of the Services in scope, unless otherwise agreed:</w:t>
      </w:r>
    </w:p>
    <w:p>
      <w:pPr>
        <w:pBdr>
          <w:top w:val="single" w:sz="6"/>
        </w:pBdr>
      </w:pP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2026-05-19T10:46:07.297Z</dcterms:created>
  <dcterms:modified xsi:type="dcterms:W3CDTF">2026-05-19T10:46:07.297Z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