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BEFORE Placeholder</w:t>
      </w:r>
    </w:p>
    <w:p>
      <w:r>
        <w:t xml:space="preserve">AFTER</w:t>
      </w:r>
    </w:p>
    <w:p>
      <w:pPr>
        <w:pStyle w:val="Title"/>
      </w:pPr>
      <w:bookmarkStart w:name="dpa-checklist-(privacy-requirements-for-third-parties)" w:id="1"/>
      <w:r>
        <w:t xml:space="preserve">DPA Checklist (Privacy Requirements for Third Parties)</w:t>
      </w:r>
      <w:bookmarkEnd w:id="1"/>
    </w:p>
    <w:p>
      <w:r>
        <w:t xml:space="preserve">Document classification: Internal</w:t>
      </w:r>
      <w:r>
        <w:br/>
      </w:r>
      <w:r>
        <w:t xml:space="preserve">Document owner: DPO/Privacy Officer</w:t>
      </w:r>
      <w:r>
        <w:br/>
      </w:r>
      <w:r>
        <w:t xml:space="preserve">Supported by: Legal Counsel, Third‑Party Security Program Owner</w:t>
      </w:r>
      <w:r>
        <w:br/>
      </w:r>
      <w:r>
        <w:t xml:space="preserve">Version: 0.1</w:t>
      </w:r>
      <w:r>
        <w:br/>
      </w:r>
      <w:r>
        <w:t xml:space="preserve">Effective date: __________________</w:t>
      </w:r>
      <w:r>
        <w:br/>
      </w:r>
      <w:r>
        <w:t xml:space="preserve">Review cadence: Annually</w:t>
      </w:r>
    </w:p>
    <w:p>
      <w:r>
        <w:t xml:space="preserve">Purpose: ensure a proportionate, consistent privacy review for suppliers that process personal data, and ensure required DPA terms are in place.</w:t>
      </w:r>
    </w:p>
    <w:p>
      <w:pPr>
        <w:pStyle w:val="Heading1"/>
      </w:pPr>
      <w:bookmarkStart w:name="1)-when-a-dpa-is-required" w:id="1"/>
      <w:r>
        <w:t xml:space="preserve">1) When a DPA is required</w:t>
      </w:r>
      <w:bookmarkEnd w:id="1"/>
    </w:p>
    <w:p>
      <w:r>
        <w:t xml:space="preserve">A DPA is required when the supplier will:</w:t>
      </w:r>
    </w:p>
    <w:p>
      <w:pPr>
        <w:pStyle w:val="ListParagraph"/>
        <w:numPr>
          <w:ilvl w:val="0"/>
          <w:numId w:val="1"/>
        </w:numPr>
      </w:pPr>
      <w:r>
        <w:t xml:space="preserve">process personal data on behalf of the organisation (as a processor), or</w:t>
      </w:r>
    </w:p>
    <w:p>
      <w:pPr>
        <w:pStyle w:val="ListParagraph"/>
        <w:numPr>
          <w:ilvl w:val="0"/>
          <w:numId w:val="1"/>
        </w:numPr>
      </w:pPr>
      <w:r>
        <w:t xml:space="preserve">access personal data as part of service delivery/support, or</w:t>
      </w:r>
    </w:p>
    <w:p>
      <w:pPr>
        <w:pStyle w:val="ListParagraph"/>
        <w:numPr>
          <w:ilvl w:val="0"/>
          <w:numId w:val="1"/>
        </w:numPr>
      </w:pPr>
      <w:r>
        <w:t xml:space="preserve">store personal data (including in logs, tickets, recordings).</w:t>
      </w:r>
    </w:p>
    <w:p>
      <w:r>
        <w:t xml:space="preserve">If uncertain, engage the DPO/Privacy Officer.</w:t>
      </w:r>
    </w:p>
    <w:p>
      <w:pPr>
        <w:pStyle w:val="Heading1"/>
      </w:pPr>
      <w:bookmarkStart w:name="2)-intake-items-(must-confirm)" w:id="1"/>
      <w:r>
        <w:t xml:space="preserve">2) Intake items (must confirm)</w:t>
      </w:r>
      <w:bookmarkEnd w:id="1"/>
    </w:p>
    <w:p>
      <w:r>
        <w:t xml:space="preserve">Supplier: ___________________________ Service: _______________________________ Business Service Owner: __________________________ Procurement ref: ___________</w:t>
      </w:r>
    </w:p>
    <w:p>
      <w:r>
        <w:t xml:space="preserve">Personal data in scope? [ ] Yes [ ] No [ ] Unknown (DPO review required)</w:t>
      </w:r>
    </w:p>
    <w:p>
      <w:r>
        <w:t xml:space="preserve">Data subjects (tick): [ ] Clients [ ] Employees [ ] Contractors [ ] Other: ________________________</w:t>
      </w:r>
    </w:p>
    <w:p>
      <w:r>
        <w:t xml:space="preserve">Data categories (tick): [ ] Contact details [ ] Financial identifiers [ ] ID documents [ ] Behavioural/usage data [ ] Authentication data [ ] Special category (if any)</w:t>
      </w:r>
    </w:p>
    <w:p>
      <w:r>
        <w:t xml:space="preserve">Processing purpose(s):</w:t>
      </w:r>
    </w:p>
    <w:p>
      <w:pPr>
        <w:pBdr>
          <w:top w:val="single" w:sz="6"/>
        </w:pBdr>
      </w:pPr>
    </w:p>
    <w:p>
      <w:r>
        <w:t xml:space="preserve">Data flows:</w:t>
      </w:r>
    </w:p>
    <w:p>
      <w:pPr>
        <w:pStyle w:val="ListParagraph"/>
        <w:numPr>
          <w:ilvl w:val="0"/>
          <w:numId w:val="1"/>
        </w:numPr>
      </w:pPr>
      <w:r>
        <w:t xml:space="preserve">Data sources: 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Data destinations/sub-processors: 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Data residency/processing locations: ________________________</w:t>
      </w:r>
    </w:p>
    <w:p>
      <w:r>
        <w:t xml:space="preserve">Retention:</w:t>
      </w:r>
    </w:p>
    <w:p>
      <w:pPr>
        <w:pStyle w:val="ListParagraph"/>
        <w:numPr>
          <w:ilvl w:val="0"/>
          <w:numId w:val="1"/>
        </w:numPr>
      </w:pPr>
      <w:r>
        <w:t xml:space="preserve">Supplier default retention: __________________</w:t>
      </w:r>
    </w:p>
    <w:p>
      <w:pPr>
        <w:pStyle w:val="ListParagraph"/>
        <w:numPr>
          <w:ilvl w:val="0"/>
          <w:numId w:val="1"/>
        </w:numPr>
      </w:pPr>
      <w:r>
        <w:t xml:space="preserve">Required retention/limits: ___________________</w:t>
      </w:r>
    </w:p>
    <w:p>
      <w:pPr>
        <w:pStyle w:val="Heading1"/>
      </w:pPr>
      <w:bookmarkStart w:name="3)-minimum-dpa-requirements-(checklist)" w:id="1"/>
      <w:r>
        <w:t xml:space="preserve">3) Minimum DPA requirements (checklist)</w:t>
      </w:r>
      <w:bookmarkEnd w:id="1"/>
    </w:p>
    <w:p>
      <w:pPr>
        <w:pStyle w:val="Heading2"/>
      </w:pPr>
      <w:bookmarkStart w:name="3-1-core-article-28-style-terms-(must-have)" w:id="1"/>
      <w:r>
        <w:t xml:space="preserve">3.1 Core Article 28-style terms (must-have)</w:t>
      </w:r>
      <w:bookmarkEnd w:id="1"/>
    </w:p>
    <w:p>
      <w:r>
        <w:t xml:space="preserve">[ ] Documented instructions (supplier processes only on documented instructions)</w:t>
      </w:r>
      <w:r>
        <w:br/>
      </w:r>
      <w:r>
        <w:t xml:space="preserve">[ ] Confidentiality obligations for supplier personnel</w:t>
      </w:r>
      <w:r>
        <w:br/>
      </w:r>
      <w:r>
        <w:t xml:space="preserve">[ ] Appropriate technical and organisational measures (TOMs) described/committed</w:t>
      </w:r>
      <w:r>
        <w:br/>
      </w:r>
      <w:r>
        <w:t xml:space="preserve">[ ] Sub-processor controls (authorisation/notification; flow-down obligations)</w:t>
      </w:r>
      <w:r>
        <w:br/>
      </w:r>
      <w:r>
        <w:t xml:space="preserve">[ ] Assistance with data subject rights requests (DSARs)</w:t>
      </w:r>
      <w:r>
        <w:br/>
      </w:r>
      <w:r>
        <w:t xml:space="preserve">[ ] Assistance with security and breach obligations</w:t>
      </w:r>
      <w:r>
        <w:br/>
      </w:r>
      <w:r>
        <w:t xml:space="preserve">[ ] Return or deletion of personal data at end of services</w:t>
      </w:r>
      <w:r>
        <w:br/>
      </w:r>
      <w:r>
        <w:t xml:space="preserve">[ ] Audit/assurance rights proportionate to risk (evidence provision acceptable)</w:t>
      </w:r>
    </w:p>
    <w:p>
      <w:pPr>
        <w:pStyle w:val="Heading2"/>
      </w:pPr>
      <w:bookmarkStart w:name="3-2-security-requirements-(privacy-relevant)" w:id="1"/>
      <w:r>
        <w:t xml:space="preserve">3.2 Security requirements (privacy-relevant)</w:t>
      </w:r>
      <w:bookmarkEnd w:id="1"/>
    </w:p>
    <w:p>
      <w:r>
        <w:t xml:space="preserve">[ ] Access control (least privilege) and MFA for admin access (where applicable)</w:t>
      </w:r>
      <w:r>
        <w:br/>
      </w:r>
      <w:r>
        <w:t xml:space="preserve">[ ] Encryption in transit and at rest (where applicable)</w:t>
      </w:r>
      <w:r>
        <w:br/>
      </w:r>
      <w:r>
        <w:t xml:space="preserve">[ ] Logging/auditability (where applicable)</w:t>
      </w:r>
      <w:r>
        <w:br/>
      </w:r>
      <w:r>
        <w:t xml:space="preserve">[ ] Incident notification obligations aligned to contractual security schedule</w:t>
      </w:r>
    </w:p>
    <w:p>
      <w:pPr>
        <w:pStyle w:val="Heading2"/>
      </w:pPr>
      <w:bookmarkStart w:name="3-3-breach-notification-(privacy)" w:id="1"/>
      <w:r>
        <w:t xml:space="preserve">3.3 Breach notification (privacy)</w:t>
      </w:r>
      <w:bookmarkEnd w:id="1"/>
    </w:p>
    <w:p>
      <w:r>
        <w:t xml:space="preserve">Confirm the DPA includes: [ ] time-bound notification of personal data breaches</w:t>
      </w:r>
      <w:r>
        <w:br/>
      </w:r>
      <w:r>
        <w:t xml:space="preserve">[ ] minimum breach information requirements (scope, categories, mitigation)</w:t>
      </w:r>
      <w:r>
        <w:br/>
      </w:r>
      <w:r>
        <w:t xml:space="preserve">[ ] cooperation and updates during incident</w:t>
      </w:r>
    </w:p>
    <w:p>
      <w:pPr>
        <w:pStyle w:val="Heading2"/>
      </w:pPr>
      <w:bookmarkStart w:name="3-4-data-location-and-transfers" w:id="1"/>
      <w:r>
        <w:t xml:space="preserve">3.4 Data location and transfers</w:t>
      </w:r>
      <w:bookmarkEnd w:id="1"/>
    </w:p>
    <w:p>
      <w:r>
        <w:t xml:space="preserve">[ ] Processing locations and data residency disclosed</w:t>
      </w:r>
      <w:r>
        <w:br/>
      </w:r>
      <w:r>
        <w:t xml:space="preserve">[ ] International transfers addressed (if outside UK/EEA), including appropriate safeguards</w:t>
      </w:r>
      <w:r>
        <w:br/>
      </w:r>
      <w:r>
        <w:t xml:space="preserve">[ ] Sub-processor transfer locations disclosed/managed</w:t>
      </w:r>
    </w:p>
    <w:p>
      <w:pPr>
        <w:pStyle w:val="Heading2"/>
      </w:pPr>
      <w:bookmarkStart w:name="3-5-retention-and-deletion" w:id="1"/>
      <w:r>
        <w:t xml:space="preserve">3.5 Retention and deletion</w:t>
      </w:r>
      <w:bookmarkEnd w:id="1"/>
    </w:p>
    <w:p>
      <w:r>
        <w:t xml:space="preserve">[ ] Retention limits appropriate to purpose</w:t>
      </w:r>
      <w:r>
        <w:br/>
      </w:r>
      <w:r>
        <w:t xml:space="preserve">[ ] Deletion timeframe and deletion confirmation available</w:t>
      </w:r>
      <w:r>
        <w:br/>
      </w:r>
      <w:r>
        <w:t xml:space="preserve">[ ] Backup deletion lifecycle described and bounded (where applicable)</w:t>
      </w:r>
    </w:p>
    <w:p>
      <w:pPr>
        <w:pStyle w:val="Heading2"/>
      </w:pPr>
      <w:bookmarkStart w:name="3-6-sub-processors-(fourth-parties)" w:id="1"/>
      <w:r>
        <w:t xml:space="preserve">3.6 Sub-processors (fourth parties)</w:t>
      </w:r>
      <w:bookmarkEnd w:id="1"/>
    </w:p>
    <w:p>
      <w:r>
        <w:t xml:space="preserve">[ ] Sub-processor list provided (or mechanism to access list)</w:t>
      </w:r>
      <w:r>
        <w:br/>
      </w:r>
      <w:r>
        <w:t xml:space="preserve">[ ] Change notification commitment for material changes</w:t>
      </w:r>
      <w:r>
        <w:br/>
      </w:r>
      <w:r>
        <w:t xml:space="preserve">[ ] Flow-down of privacy obligations to sub-processors</w:t>
      </w:r>
    </w:p>
    <w:p>
      <w:pPr>
        <w:pStyle w:val="Heading2"/>
      </w:pPr>
      <w:bookmarkStart w:name="3-7-record-keeping-and-assistance" w:id="1"/>
      <w:r>
        <w:t xml:space="preserve">3.7 Record keeping and assistance</w:t>
      </w:r>
      <w:bookmarkEnd w:id="1"/>
    </w:p>
    <w:p>
      <w:r>
        <w:t xml:space="preserve">[ ] Assistance with DPIAs / risk assessments (where applicable)</w:t>
      </w:r>
      <w:r>
        <w:br/>
      </w:r>
      <w:r>
        <w:t xml:space="preserve">[ ] Assistance with regulator queries (where applicable)</w:t>
      </w:r>
    </w:p>
    <w:p>
      <w:pPr>
        <w:pStyle w:val="Heading1"/>
      </w:pPr>
      <w:bookmarkStart w:name="4)-evidence-to-request-(practical)" w:id="1"/>
      <w:r>
        <w:t xml:space="preserve">4) Evidence to request (practical)</w:t>
      </w:r>
      <w:bookmarkEnd w:id="1"/>
    </w:p>
    <w:p>
      <w:r>
        <w:t xml:space="preserve">Request proportionate evidence (do not over-collect): [ ] Supplier DPA template</w:t>
      </w:r>
      <w:r>
        <w:br/>
      </w:r>
      <w:r>
        <w:t xml:space="preserve">[ ] Sub-processor list + change notification mechanism</w:t>
      </w:r>
      <w:r>
        <w:br/>
      </w:r>
      <w:r>
        <w:t xml:space="preserve">[ ] Security measures overview relevant to personal data</w:t>
      </w:r>
      <w:r>
        <w:br/>
      </w:r>
      <w:r>
        <w:t xml:space="preserve">[ ] Data retention/deletion statement</w:t>
      </w:r>
    </w:p>
    <w:p>
      <w:pPr>
        <w:pStyle w:val="Heading1"/>
      </w:pPr>
      <w:bookmarkStart w:name="5)-outcome-(dpo/privacy-officer)" w:id="1"/>
      <w:r>
        <w:t xml:space="preserve">5) Outcome (DPO/Privacy Officer)</w:t>
      </w:r>
      <w:bookmarkEnd w:id="1"/>
    </w:p>
    <w:p>
      <w:r>
        <w:t xml:space="preserve">Decision: [ ] DPA required and acceptable as is</w:t>
      </w:r>
      <w:r>
        <w:br/>
      </w:r>
      <w:r>
        <w:t xml:space="preserve">[ ] DPA required with changes (redlines)</w:t>
      </w:r>
      <w:r>
        <w:br/>
      </w:r>
      <w:r>
        <w:t xml:space="preserve">[ ] DPA required but unacceptable (do not proceed / escalate)</w:t>
      </w:r>
      <w:r>
        <w:br/>
      </w:r>
      <w:r>
        <w:t xml:space="preserve">[ ] DPA not required (justify):</w:t>
      </w:r>
    </w:p>
    <w:p>
      <w:r>
        <w:t xml:space="preserve">Notes / required changes:</w:t>
      </w:r>
    </w:p>
    <w:p>
      <w:pPr>
        <w:pBdr>
          <w:top w:val="single" w:sz="6"/>
        </w:pBdr>
      </w:pPr>
    </w:p>
    <w:p>
      <w:pPr>
        <w:pStyle w:val="Heading1"/>
      </w:pPr>
      <w:bookmarkStart w:name="6)-approvals-and-handoffs" w:id="1"/>
      <w:r>
        <w:t xml:space="preserve">6) Approvals and handoffs</w:t>
      </w:r>
      <w:bookmarkEnd w:id="1"/>
    </w:p>
    <w:p>
      <w:r>
        <w:t xml:space="preserve">DPO/Privacy Officer (role title): __________________ Date: ________ Legal Counsel (role title, if required): ____________ Date: ________ Third‑Party Security Program Owner (role title): ____ Date: ________ Procurement (role title): __________________________ Date: ________</w:t>
      </w:r>
    </w:p>
    <w:p>
      <w:pPr>
        <w:pStyle w:val="Heading1"/>
      </w:pPr>
      <w:bookmarkStart w:name="7)-storage-and-retention" w:id="1"/>
      <w:r>
        <w:t xml:space="preserve">7) Storage and retention</w:t>
      </w:r>
      <w:bookmarkEnd w:id="1"/>
    </w:p>
    <w:p>
      <w:r>
        <w:t xml:space="preserve">Store the executed DPA and checklist outcome in the approved repository/location. Retention per the program data retention policy.</w:t>
      </w:r>
    </w:p>
    <w:sectPr>
      <w:pgSz w:w="11906" w:h="16838" w:orient="portrait"/>
      <w:pgMar w:top="1360" w:right="1360" w:bottom="1360" w:left="1360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after="12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rFonts w:ascii="Arial" w:cs="Arial" w:eastAsia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00000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2026-05-19T10:48:33.546Z</dcterms:created>
  <dcterms:modified xsi:type="dcterms:W3CDTF">2026-05-19T10:48:33.546Z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