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docs/00-artifact-map.md</w:t>
      </w:r>
    </w:p>
    <w:p>
      <w:pPr>
        <w:pStyle w:val="Title"/>
      </w:pPr>
      <w:bookmarkStart w:name="artifact-map-(start-here)" w:id="1"/>
      <w:r>
        <w:t xml:space="preserve">Artifact Map (Start Here)</w:t>
      </w:r>
      <w:bookmarkEnd w:id="1"/>
    </w:p>
    <w:p>
      <w:r>
        <w:t xml:space="preserve">Use this map to navigate the toolkit in the recommended order: tiering → evidence → baselines → patterns → exceptions → monitoring → metrics.</w:t>
      </w:r>
    </w:p>
    <w:p>
      <w:pPr>
        <w:pStyle w:val="Heading1"/>
      </w:pPr>
      <w:bookmarkStart w:name="start-here-flow" w:id="1"/>
      <w:r>
        <w:t xml:space="preserve">Start-here flow</w:t>
      </w:r>
      <w:bookmarkEnd w:id="1"/>
    </w:p>
    <w:p>
      <w:pPr>
        <w:pStyle w:val="Heading2"/>
      </w:pPr>
      <w:bookmarkStart w:name="1)-tier-the-supplier" w:id="1"/>
      <w:r>
        <w:t xml:space="preserve">1) Tier the supplier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Tiering decision tree: </w:t>
      </w:r>
      <w:r>
        <w:rPr>
          <w:rStyle w:val="code"/>
          <w:rFonts w:ascii="Consolas" w:cs="Consolas" w:eastAsia="Consolas" w:hAnsi="Consolas"/>
        </w:rPr>
        <w:t xml:space="preserve">tiering-model/supplier-tiering-decision-tree.md</w:t>
      </w:r>
    </w:p>
    <w:p>
      <w:pPr>
        <w:pStyle w:val="ListParagraph"/>
        <w:numPr>
          <w:ilvl w:val="0"/>
          <w:numId w:val="1"/>
        </w:numPr>
      </w:pPr>
      <w:r>
        <w:t xml:space="preserve">Tiering intake: </w:t>
      </w:r>
      <w:r>
        <w:rPr>
          <w:rStyle w:val="code"/>
          <w:rFonts w:ascii="Consolas" w:cs="Consolas" w:eastAsia="Consolas" w:hAnsi="Consolas"/>
        </w:rPr>
        <w:t xml:space="preserve">tiering-model/Supplier Tiering Intake.pdf</w:t>
      </w:r>
    </w:p>
    <w:p>
      <w:pPr>
        <w:pStyle w:val="ListParagraph"/>
        <w:numPr>
          <w:ilvl w:val="0"/>
          <w:numId w:val="1"/>
        </w:numPr>
      </w:pPr>
      <w:r>
        <w:t xml:space="preserve">Tiering folder readme: </w:t>
      </w:r>
      <w:r>
        <w:rPr>
          <w:rStyle w:val="code"/>
          <w:rFonts w:ascii="Consolas" w:cs="Consolas" w:eastAsia="Consolas" w:hAnsi="Consolas"/>
        </w:rPr>
        <w:t xml:space="preserve">tiering-model/readme.md</w:t>
      </w:r>
    </w:p>
    <w:p>
      <w:r>
        <w:t xml:space="preserve">Output: Tier = Critical / Important / Low + documented rationale.</w:t>
      </w:r>
    </w:p>
    <w:p>
      <w:pPr>
        <w:pStyle w:val="Heading2"/>
      </w:pPr>
      <w:bookmarkStart w:name="2)-issue-the-evidence-pack-(due-diligence)" w:id="1"/>
      <w:r>
        <w:t xml:space="preserve">2) Issue the evidence pack (due diligence)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Tier 1 evidence pack: </w:t>
      </w:r>
      <w:r>
        <w:rPr>
          <w:rStyle w:val="code"/>
          <w:rFonts w:ascii="Consolas" w:cs="Consolas" w:eastAsia="Consolas" w:hAnsi="Consolas"/>
        </w:rPr>
        <w:t xml:space="preserve">tiering-model/Tier 1 Supplier Evidence Pack.pdf</w:t>
      </w:r>
    </w:p>
    <w:p>
      <w:pPr>
        <w:pStyle w:val="ListParagraph"/>
        <w:numPr>
          <w:ilvl w:val="0"/>
          <w:numId w:val="1"/>
        </w:numPr>
      </w:pPr>
      <w:r>
        <w:t xml:space="preserve">Tier 2 evidence pack: </w:t>
      </w:r>
      <w:r>
        <w:rPr>
          <w:rStyle w:val="code"/>
          <w:rFonts w:ascii="Consolas" w:cs="Consolas" w:eastAsia="Consolas" w:hAnsi="Consolas"/>
        </w:rPr>
        <w:t xml:space="preserve">evidence-packs/Tier 2 Important Supplier Evidence Pack .docx</w:t>
      </w:r>
    </w:p>
    <w:p>
      <w:pPr>
        <w:pStyle w:val="ListParagraph"/>
        <w:numPr>
          <w:ilvl w:val="0"/>
          <w:numId w:val="1"/>
        </w:numPr>
      </w:pPr>
      <w:r>
        <w:t xml:space="preserve">Tier 3 lightweight checks: </w:t>
      </w:r>
      <w:r>
        <w:rPr>
          <w:rStyle w:val="code"/>
          <w:rFonts w:ascii="Consolas" w:cs="Consolas" w:eastAsia="Consolas" w:hAnsi="Consolas"/>
        </w:rPr>
        <w:t xml:space="preserve">evidence-packs/Tier 3 Low Supplier Checks — Lightweight Assurance.docx</w:t>
      </w:r>
    </w:p>
    <w:p>
      <w:pPr>
        <w:pStyle w:val="ListParagraph"/>
        <w:numPr>
          <w:ilvl w:val="0"/>
          <w:numId w:val="1"/>
        </w:numPr>
      </w:pPr>
      <w:r>
        <w:t xml:space="preserve">Supplier response template: </w:t>
      </w:r>
      <w:r>
        <w:rPr>
          <w:rStyle w:val="code"/>
          <w:rFonts w:ascii="Consolas" w:cs="Consolas" w:eastAsia="Consolas" w:hAnsi="Consolas"/>
        </w:rPr>
        <w:t xml:space="preserve">evidence-packs/Supplier Evidence Pack Response Template.docx</w:t>
      </w:r>
    </w:p>
    <w:p>
      <w:pPr>
        <w:pStyle w:val="ListParagraph"/>
        <w:numPr>
          <w:ilvl w:val="0"/>
          <w:numId w:val="1"/>
        </w:numPr>
      </w:pPr>
      <w:r>
        <w:t xml:space="preserve">Tier 1 internal assurance checklist: </w:t>
      </w:r>
      <w:r>
        <w:rPr>
          <w:rStyle w:val="code"/>
          <w:rFonts w:ascii="Consolas" w:cs="Consolas" w:eastAsia="Consolas" w:hAnsi="Consolas"/>
        </w:rPr>
        <w:t xml:space="preserve">evidence-packs/Tier 1 Critical Supplier Checks — Assurance Checklist.docx</w:t>
      </w:r>
    </w:p>
    <w:p>
      <w:r>
        <w:t xml:space="preserve">Output: Evidence received + gaps identified.</w:t>
      </w:r>
    </w:p>
    <w:p>
      <w:pPr>
        <w:pStyle w:val="Heading2"/>
      </w:pPr>
      <w:bookmarkStart w:name="3)-apply-control-baselines-(what-to-require-+-how-to-validate)" w:id="1"/>
      <w:r>
        <w:t xml:space="preserve">3) Apply control baselines (what to require + how to validate)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IAM baseline: </w:t>
      </w:r>
      <w:r>
        <w:rPr>
          <w:rStyle w:val="code"/>
          <w:rFonts w:ascii="Consolas" w:cs="Consolas" w:eastAsia="Consolas" w:hAnsi="Consolas"/>
        </w:rPr>
        <w:t xml:space="preserve">control-baselines/IAM baseline.pdf</w:t>
      </w:r>
    </w:p>
    <w:p>
      <w:pPr>
        <w:pStyle w:val="ListParagraph"/>
        <w:numPr>
          <w:ilvl w:val="0"/>
          <w:numId w:val="1"/>
        </w:numPr>
      </w:pPr>
      <w:r>
        <w:t xml:space="preserve">Logging &amp; auditability baseline: </w:t>
      </w:r>
      <w:r>
        <w:rPr>
          <w:rStyle w:val="code"/>
          <w:rFonts w:ascii="Consolas" w:cs="Consolas" w:eastAsia="Consolas" w:hAnsi="Consolas"/>
        </w:rPr>
        <w:t xml:space="preserve">control-baselines/Logging and Auditability Control.pdf</w:t>
      </w:r>
    </w:p>
    <w:p>
      <w:pPr>
        <w:pStyle w:val="ListParagraph"/>
        <w:numPr>
          <w:ilvl w:val="0"/>
          <w:numId w:val="1"/>
        </w:numPr>
      </w:pPr>
      <w:r>
        <w:t xml:space="preserve">API baseline: </w:t>
      </w:r>
      <w:r>
        <w:rPr>
          <w:rStyle w:val="code"/>
          <w:rFonts w:ascii="Consolas" w:cs="Consolas" w:eastAsia="Consolas" w:hAnsi="Consolas"/>
        </w:rPr>
        <w:t xml:space="preserve">control-baselines/API Baseline.pdf</w:t>
      </w:r>
    </w:p>
    <w:p>
      <w:pPr>
        <w:pStyle w:val="ListParagraph"/>
        <w:numPr>
          <w:ilvl w:val="0"/>
          <w:numId w:val="1"/>
        </w:numPr>
      </w:pPr>
      <w:r>
        <w:t xml:space="preserve">Connectivity baseline: </w:t>
      </w:r>
      <w:r>
        <w:rPr>
          <w:rStyle w:val="code"/>
          <w:rFonts w:ascii="Consolas" w:cs="Consolas" w:eastAsia="Consolas" w:hAnsi="Consolas"/>
        </w:rPr>
        <w:t xml:space="preserve">control-baselines/Connectivity Baseline.pdf</w:t>
      </w:r>
    </w:p>
    <w:p>
      <w:pPr>
        <w:pStyle w:val="ListParagraph"/>
        <w:numPr>
          <w:ilvl w:val="0"/>
          <w:numId w:val="1"/>
        </w:numPr>
      </w:pPr>
      <w:r>
        <w:t xml:space="preserve">Vulnerability management baseline: </w:t>
      </w:r>
      <w:r>
        <w:rPr>
          <w:rStyle w:val="code"/>
          <w:rFonts w:ascii="Consolas" w:cs="Consolas" w:eastAsia="Consolas" w:hAnsi="Consolas"/>
        </w:rPr>
        <w:t xml:space="preserve">control-baselines/Vuln Mgmt baseline.pdf</w:t>
      </w:r>
    </w:p>
    <w:p>
      <w:pPr>
        <w:pStyle w:val="ListParagraph"/>
        <w:numPr>
          <w:ilvl w:val="0"/>
          <w:numId w:val="1"/>
        </w:numPr>
      </w:pPr>
      <w:r>
        <w:t xml:space="preserve">Incident notification baseline: </w:t>
      </w:r>
      <w:r>
        <w:rPr>
          <w:rStyle w:val="code"/>
          <w:rFonts w:ascii="Consolas" w:cs="Consolas" w:eastAsia="Consolas" w:hAnsi="Consolas"/>
        </w:rPr>
        <w:t xml:space="preserve">control-baselines/Incident Notification Baseline.pdf</w:t>
      </w:r>
    </w:p>
    <w:p>
      <w:pPr>
        <w:pStyle w:val="ListParagraph"/>
        <w:numPr>
          <w:ilvl w:val="0"/>
          <w:numId w:val="1"/>
        </w:numPr>
      </w:pPr>
      <w:r>
        <w:t xml:space="preserve">Resilience &amp; recovery baseline: </w:t>
      </w:r>
      <w:r>
        <w:rPr>
          <w:rStyle w:val="code"/>
          <w:rFonts w:ascii="Consolas" w:cs="Consolas" w:eastAsia="Consolas" w:hAnsi="Consolas"/>
        </w:rPr>
        <w:t xml:space="preserve">control-baselines/Resilience and Recovery Baseline.pdf</w:t>
      </w:r>
    </w:p>
    <w:p>
      <w:r>
        <w:t xml:space="preserve">Output: Pass/partial/gap with evidence links and remediation actions.</w:t>
      </w:r>
    </w:p>
    <w:p>
      <w:pPr>
        <w:pStyle w:val="Heading2"/>
      </w:pPr>
      <w:bookmarkStart w:name="4)-select-integration-patterns-(how-to-onboard-safely)" w:id="1"/>
      <w:r>
        <w:t xml:space="preserve">4) Select integration patterns (how to onboard safely)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SSO pattern: </w:t>
      </w:r>
      <w:r>
        <w:rPr>
          <w:rStyle w:val="code"/>
          <w:rFonts w:ascii="Consolas" w:cs="Consolas" w:eastAsia="Consolas" w:hAnsi="Consolas"/>
        </w:rPr>
        <w:t xml:space="preserve">integration-patterns/SSO.pdf</w:t>
      </w:r>
    </w:p>
    <w:p>
      <w:pPr>
        <w:pStyle w:val="ListParagraph"/>
        <w:numPr>
          <w:ilvl w:val="0"/>
          <w:numId w:val="1"/>
        </w:numPr>
      </w:pPr>
      <w:r>
        <w:t xml:space="preserve">RBAC template: </w:t>
      </w:r>
      <w:r>
        <w:rPr>
          <w:rStyle w:val="code"/>
          <w:rFonts w:ascii="Consolas" w:cs="Consolas" w:eastAsia="Consolas" w:hAnsi="Consolas"/>
        </w:rPr>
        <w:t xml:space="preserve">integration-patterns/RBAC.pdf</w:t>
      </w:r>
    </w:p>
    <w:p>
      <w:pPr>
        <w:pStyle w:val="ListParagraph"/>
        <w:numPr>
          <w:ilvl w:val="0"/>
          <w:numId w:val="1"/>
        </w:numPr>
      </w:pPr>
      <w:r>
        <w:t xml:space="preserve">API integration pattern: </w:t>
      </w:r>
      <w:r>
        <w:rPr>
          <w:rStyle w:val="code"/>
          <w:rFonts w:ascii="Consolas" w:cs="Consolas" w:eastAsia="Consolas" w:hAnsi="Consolas"/>
        </w:rPr>
        <w:t xml:space="preserve">integration-patterns/API Integration.pdf</w:t>
      </w:r>
    </w:p>
    <w:p>
      <w:pPr>
        <w:pStyle w:val="ListParagraph"/>
        <w:numPr>
          <w:ilvl w:val="0"/>
          <w:numId w:val="1"/>
        </w:numPr>
      </w:pPr>
      <w:r>
        <w:t xml:space="preserve">Logging &amp; audit export pattern: </w:t>
      </w:r>
      <w:r>
        <w:rPr>
          <w:rStyle w:val="code"/>
          <w:rFonts w:ascii="Consolas" w:cs="Consolas" w:eastAsia="Consolas" w:hAnsi="Consolas"/>
        </w:rPr>
        <w:t xml:space="preserve">integration-patterns/Logging and Audit Export.pdf</w:t>
      </w:r>
    </w:p>
    <w:p>
      <w:pPr>
        <w:pStyle w:val="ListParagraph"/>
        <w:numPr>
          <w:ilvl w:val="0"/>
          <w:numId w:val="1"/>
        </w:numPr>
      </w:pPr>
      <w:r>
        <w:t xml:space="preserve">VPN/private link pattern: </w:t>
      </w:r>
      <w:r>
        <w:rPr>
          <w:rStyle w:val="code"/>
          <w:rFonts w:ascii="Consolas" w:cs="Consolas" w:eastAsia="Consolas" w:hAnsi="Consolas"/>
        </w:rPr>
        <w:t xml:space="preserve">integration-patterns/VPN Connectivity.pdf</w:t>
      </w:r>
    </w:p>
    <w:p>
      <w:r>
        <w:t xml:space="preserve">Output: Approved pattern(s) + onboarding validation evidence.</w:t>
      </w:r>
    </w:p>
    <w:p>
      <w:pPr>
        <w:pStyle w:val="Heading2"/>
      </w:pPr>
      <w:bookmarkStart w:name="5)-governance-+-exceptions-(make-decisions-explicit)" w:id="1"/>
      <w:r>
        <w:t xml:space="preserve">5) Governance + exceptions (make decisions explicit)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Program charter: </w:t>
      </w:r>
      <w:r>
        <w:rPr>
          <w:rStyle w:val="code"/>
          <w:rFonts w:ascii="Consolas" w:cs="Consolas" w:eastAsia="Consolas" w:hAnsi="Consolas"/>
        </w:rPr>
        <w:t xml:space="preserve">program-charter/Program Charter.pdf</w:t>
      </w:r>
    </w:p>
    <w:p>
      <w:pPr>
        <w:pStyle w:val="ListParagraph"/>
        <w:numPr>
          <w:ilvl w:val="0"/>
          <w:numId w:val="1"/>
        </w:numPr>
      </w:pPr>
      <w:r>
        <w:t xml:space="preserve">Governance/approvals: </w:t>
      </w:r>
      <w:r>
        <w:rPr>
          <w:rStyle w:val="code"/>
          <w:rFonts w:ascii="Consolas" w:cs="Consolas" w:eastAsia="Consolas" w:hAnsi="Consolas"/>
        </w:rPr>
        <w:t xml:space="preserve">program-charter/Governance Approvals.pdf</w:t>
      </w:r>
    </w:p>
    <w:p>
      <w:pPr>
        <w:pStyle w:val="ListParagraph"/>
        <w:numPr>
          <w:ilvl w:val="0"/>
          <w:numId w:val="1"/>
        </w:numPr>
      </w:pPr>
      <w:r>
        <w:t xml:space="preserve">Minimum security by tier: </w:t>
      </w:r>
      <w:r>
        <w:rPr>
          <w:rStyle w:val="code"/>
          <w:rFonts w:ascii="Consolas" w:cs="Consolas" w:eastAsia="Consolas" w:hAnsi="Consolas"/>
        </w:rPr>
        <w:t xml:space="preserve">program-charter/Minimum Security for Vendor Tiers.pdf</w:t>
      </w:r>
    </w:p>
    <w:p>
      <w:pPr>
        <w:pStyle w:val="ListParagraph"/>
        <w:numPr>
          <w:ilvl w:val="0"/>
          <w:numId w:val="1"/>
        </w:numPr>
      </w:pPr>
      <w:r>
        <w:t xml:space="preserve">Policy exceptions standard: </w:t>
      </w:r>
      <w:r>
        <w:rPr>
          <w:rStyle w:val="code"/>
          <w:rFonts w:ascii="Consolas" w:cs="Consolas" w:eastAsia="Consolas" w:hAnsi="Consolas"/>
        </w:rPr>
        <w:t xml:space="preserve">program-charter/Policy Exceptions.pdf</w:t>
      </w:r>
    </w:p>
    <w:p>
      <w:pPr>
        <w:pStyle w:val="ListParagraph"/>
        <w:numPr>
          <w:ilvl w:val="0"/>
          <w:numId w:val="1"/>
        </w:numPr>
      </w:pPr>
      <w:r>
        <w:t xml:space="preserve">Exception request template: </w:t>
      </w:r>
      <w:r>
        <w:rPr>
          <w:rStyle w:val="code"/>
          <w:rFonts w:ascii="Consolas" w:cs="Consolas" w:eastAsia="Consolas" w:hAnsi="Consolas"/>
        </w:rPr>
        <w:t xml:space="preserve">program-charter/Policy Exception request.docx</w:t>
      </w:r>
    </w:p>
    <w:p>
      <w:pPr>
        <w:pStyle w:val="ListParagraph"/>
        <w:numPr>
          <w:ilvl w:val="0"/>
          <w:numId w:val="1"/>
        </w:numPr>
      </w:pPr>
      <w:r>
        <w:t xml:space="preserve">RACI: </w:t>
      </w:r>
      <w:r>
        <w:rPr>
          <w:rStyle w:val="code"/>
          <w:rFonts w:ascii="Consolas" w:cs="Consolas" w:eastAsia="Consolas" w:hAnsi="Consolas"/>
        </w:rPr>
        <w:t xml:space="preserve">program-charter/RACI.pdf</w:t>
      </w:r>
    </w:p>
    <w:p>
      <w:pPr>
        <w:pStyle w:val="ListParagraph"/>
        <w:numPr>
          <w:ilvl w:val="0"/>
          <w:numId w:val="1"/>
        </w:numPr>
      </w:pPr>
      <w:r>
        <w:t xml:space="preserve">Data retention: </w:t>
      </w:r>
      <w:r>
        <w:rPr>
          <w:rStyle w:val="code"/>
          <w:rFonts w:ascii="Consolas" w:cs="Consolas" w:eastAsia="Consolas" w:hAnsi="Consolas"/>
        </w:rPr>
        <w:t xml:space="preserve">program-charter/Data Retention and Disposal Policy.pdf</w:t>
      </w:r>
    </w:p>
    <w:p>
      <w:r>
        <w:t xml:space="preserve">Output: Decision record + exceptions (if any) with expiry and compensating controls.</w:t>
      </w:r>
    </w:p>
    <w:p>
      <w:pPr>
        <w:pStyle w:val="Heading2"/>
      </w:pPr>
      <w:bookmarkStart w:name="6)-contract-it-(make-it-enforceable)" w:id="1"/>
      <w:r>
        <w:t xml:space="preserve">6) Contract it (make it enforceable)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Contract overview by tier: </w:t>
      </w:r>
      <w:r>
        <w:rPr>
          <w:rStyle w:val="code"/>
          <w:rFonts w:ascii="Consolas" w:cs="Consolas" w:eastAsia="Consolas" w:hAnsi="Consolas"/>
        </w:rPr>
        <w:t xml:space="preserve">contracts/Contract Overview by Vendor Tier.pdf</w:t>
      </w:r>
    </w:p>
    <w:p>
      <w:pPr>
        <w:pStyle w:val="ListParagraph"/>
        <w:numPr>
          <w:ilvl w:val="0"/>
          <w:numId w:val="1"/>
        </w:numPr>
      </w:pPr>
      <w:r>
        <w:t xml:space="preserve">Security schedule template: </w:t>
      </w:r>
      <w:r>
        <w:rPr>
          <w:rStyle w:val="code"/>
          <w:rFonts w:ascii="Consolas" w:cs="Consolas" w:eastAsia="Consolas" w:hAnsi="Consolas"/>
        </w:rPr>
        <w:t xml:space="preserve">contracts/Security Schedule Template.docx</w:t>
      </w:r>
    </w:p>
    <w:p>
      <w:pPr>
        <w:pStyle w:val="ListParagraph"/>
        <w:numPr>
          <w:ilvl w:val="0"/>
          <w:numId w:val="1"/>
        </w:numPr>
      </w:pPr>
      <w:r>
        <w:t xml:space="preserve">Security schedule (Critical-tier): </w:t>
      </w:r>
      <w:r>
        <w:rPr>
          <w:rStyle w:val="code"/>
          <w:rFonts w:ascii="Consolas" w:cs="Consolas" w:eastAsia="Consolas" w:hAnsi="Consolas"/>
        </w:rPr>
        <w:t xml:space="preserve">contracts/Security Schedule — Critical Tier Tier 1 Vendor Template.docx</w:t>
      </w:r>
    </w:p>
    <w:p>
      <w:pPr>
        <w:pStyle w:val="ListParagraph"/>
        <w:numPr>
          <w:ilvl w:val="0"/>
          <w:numId w:val="1"/>
        </w:numPr>
      </w:pPr>
      <w:r>
        <w:t xml:space="preserve">DPA checklist: </w:t>
      </w:r>
      <w:r>
        <w:rPr>
          <w:rStyle w:val="code"/>
          <w:rFonts w:ascii="Consolas" w:cs="Consolas" w:eastAsia="Consolas" w:hAnsi="Consolas"/>
        </w:rPr>
        <w:t xml:space="preserve">contracts/DPA Checklist.docx</w:t>
      </w:r>
    </w:p>
    <w:p>
      <w:pPr>
        <w:pStyle w:val="ListParagraph"/>
        <w:numPr>
          <w:ilvl w:val="0"/>
          <w:numId w:val="1"/>
        </w:numPr>
      </w:pPr>
      <w:r>
        <w:t xml:space="preserve">Audit &amp; assurance: </w:t>
      </w:r>
      <w:r>
        <w:rPr>
          <w:rStyle w:val="code"/>
          <w:rFonts w:ascii="Consolas" w:cs="Consolas" w:eastAsia="Consolas" w:hAnsi="Consolas"/>
        </w:rPr>
        <w:t xml:space="preserve">contracts/Audit Clauses.pdf</w:t>
      </w:r>
    </w:p>
    <w:p>
      <w:pPr>
        <w:pStyle w:val="ListParagraph"/>
        <w:numPr>
          <w:ilvl w:val="0"/>
          <w:numId w:val="1"/>
        </w:numPr>
      </w:pPr>
      <w:r>
        <w:t xml:space="preserve">Sub-processor clauses: </w:t>
      </w:r>
      <w:r>
        <w:rPr>
          <w:rStyle w:val="code"/>
          <w:rFonts w:ascii="Consolas" w:cs="Consolas" w:eastAsia="Consolas" w:hAnsi="Consolas"/>
        </w:rPr>
        <w:t xml:space="preserve">contracts/Sub-Processor Clauses.pdf</w:t>
      </w:r>
    </w:p>
    <w:p>
      <w:pPr>
        <w:pStyle w:val="ListParagraph"/>
        <w:numPr>
          <w:ilvl w:val="0"/>
          <w:numId w:val="1"/>
        </w:numPr>
      </w:pPr>
      <w:r>
        <w:t xml:space="preserve">Incident notification clause: </w:t>
      </w:r>
      <w:r>
        <w:rPr>
          <w:rStyle w:val="code"/>
          <w:rFonts w:ascii="Consolas" w:cs="Consolas" w:eastAsia="Consolas" w:hAnsi="Consolas"/>
        </w:rPr>
        <w:t xml:space="preserve">contracts/Incident Notification Clause.pdf</w:t>
      </w:r>
    </w:p>
    <w:p>
      <w:pPr>
        <w:pStyle w:val="ListParagraph"/>
        <w:numPr>
          <w:ilvl w:val="0"/>
          <w:numId w:val="1"/>
        </w:numPr>
      </w:pPr>
      <w:r>
        <w:t xml:space="preserve">Resilience/DR clause: </w:t>
      </w:r>
      <w:r>
        <w:rPr>
          <w:rStyle w:val="code"/>
          <w:rFonts w:ascii="Consolas" w:cs="Consolas" w:eastAsia="Consolas" w:hAnsi="Consolas"/>
        </w:rPr>
        <w:t xml:space="preserve">contracts/DR Clause.pdf</w:t>
      </w:r>
    </w:p>
    <w:p>
      <w:pPr>
        <w:pStyle w:val="ListParagraph"/>
        <w:numPr>
          <w:ilvl w:val="0"/>
          <w:numId w:val="1"/>
        </w:numPr>
      </w:pPr>
      <w:r>
        <w:t xml:space="preserve">Offboarding clauses: </w:t>
      </w:r>
      <w:r>
        <w:rPr>
          <w:rStyle w:val="code"/>
          <w:rFonts w:ascii="Consolas" w:cs="Consolas" w:eastAsia="Consolas" w:hAnsi="Consolas"/>
        </w:rPr>
        <w:t xml:space="preserve">contracts/OffBoarding Clauses.pdf</w:t>
      </w:r>
    </w:p>
    <w:p>
      <w:r>
        <w:t xml:space="preserve">Output: Executed contract aligned to the supplier’s tier and scope.</w:t>
      </w:r>
    </w:p>
    <w:p>
      <w:pPr>
        <w:pStyle w:val="Heading2"/>
      </w:pPr>
      <w:bookmarkStart w:name="7)-monitor,-renew,-and-respond-to-incidents" w:id="1"/>
      <w:r>
        <w:t xml:space="preserve">7) Monitor, renew, and respond to incidents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Review cadence: </w:t>
      </w:r>
      <w:r>
        <w:rPr>
          <w:rStyle w:val="code"/>
          <w:rFonts w:ascii="Consolas" w:cs="Consolas" w:eastAsia="Consolas" w:hAnsi="Consolas"/>
        </w:rPr>
        <w:t xml:space="preserve">monitoring/Review Cadence.pdf</w:t>
      </w:r>
    </w:p>
    <w:p>
      <w:pPr>
        <w:pStyle w:val="ListParagraph"/>
        <w:numPr>
          <w:ilvl w:val="0"/>
          <w:numId w:val="1"/>
        </w:numPr>
      </w:pPr>
      <w:r>
        <w:t xml:space="preserve">Trigger events (out-of-cycle reassessment): </w:t>
      </w:r>
      <w:r>
        <w:rPr>
          <w:rStyle w:val="code"/>
          <w:rFonts w:ascii="Consolas" w:cs="Consolas" w:eastAsia="Consolas" w:hAnsi="Consolas"/>
        </w:rPr>
        <w:t xml:space="preserve">monitoring/Trigger Events.pdf</w:t>
      </w:r>
    </w:p>
    <w:p>
      <w:pPr>
        <w:pStyle w:val="ListParagraph"/>
        <w:numPr>
          <w:ilvl w:val="0"/>
          <w:numId w:val="1"/>
        </w:numPr>
      </w:pPr>
      <w:r>
        <w:t xml:space="preserve">Ongoing assurance checklist: </w:t>
      </w:r>
      <w:r>
        <w:rPr>
          <w:rStyle w:val="code"/>
          <w:rFonts w:ascii="Consolas" w:cs="Consolas" w:eastAsia="Consolas" w:hAnsi="Consolas"/>
        </w:rPr>
        <w:t xml:space="preserve">monitoring/Ongoing Assurance Checklist.docx</w:t>
      </w:r>
    </w:p>
    <w:p>
      <w:pPr>
        <w:pStyle w:val="ListParagraph"/>
        <w:numPr>
          <w:ilvl w:val="0"/>
          <w:numId w:val="1"/>
        </w:numPr>
      </w:pPr>
      <w:r>
        <w:t xml:space="preserve">Renewal assessment playbook: </w:t>
      </w:r>
      <w:r>
        <w:rPr>
          <w:rStyle w:val="code"/>
          <w:rFonts w:ascii="Consolas" w:cs="Consolas" w:eastAsia="Consolas" w:hAnsi="Consolas"/>
        </w:rPr>
        <w:t xml:space="preserve">monitoring/Renewal Assessment Playbook.docx</w:t>
      </w:r>
    </w:p>
    <w:p>
      <w:r>
        <w:t xml:space="preserve">Incident response (supplier-facing):</w:t>
      </w:r>
    </w:p>
    <w:p>
      <w:pPr>
        <w:pStyle w:val="ListParagraph"/>
        <w:numPr>
          <w:ilvl w:val="0"/>
          <w:numId w:val="1"/>
        </w:numPr>
      </w:pPr>
      <w:r>
        <w:t xml:space="preserve">Supplier incident management playbook: </w:t>
      </w:r>
      <w:r>
        <w:rPr>
          <w:rStyle w:val="code"/>
          <w:rFonts w:ascii="Consolas" w:cs="Consolas" w:eastAsia="Consolas" w:hAnsi="Consolas"/>
        </w:rPr>
        <w:t xml:space="preserve">monitoring/Supplier Incident Management Playbook.pdf</w:t>
      </w:r>
    </w:p>
    <w:p>
      <w:pPr>
        <w:pStyle w:val="ListParagraph"/>
        <w:numPr>
          <w:ilvl w:val="0"/>
          <w:numId w:val="1"/>
        </w:numPr>
      </w:pPr>
      <w:r>
        <w:t xml:space="preserve">Incident-triggered supplier review playbook: </w:t>
      </w:r>
      <w:r>
        <w:rPr>
          <w:rStyle w:val="code"/>
          <w:rFonts w:ascii="Consolas" w:cs="Consolas" w:eastAsia="Consolas" w:hAnsi="Consolas"/>
        </w:rPr>
        <w:t xml:space="preserve">monitoring/Incident Triggered Supplier Review Playbook.pdf</w:t>
      </w:r>
    </w:p>
    <w:p>
      <w:pPr>
        <w:pStyle w:val="ListParagraph"/>
        <w:numPr>
          <w:ilvl w:val="0"/>
          <w:numId w:val="1"/>
        </w:numPr>
      </w:pPr>
      <w:r>
        <w:t xml:space="preserve">First 60-minute questions: </w:t>
      </w:r>
      <w:r>
        <w:rPr>
          <w:rStyle w:val="code"/>
          <w:rFonts w:ascii="Consolas" w:cs="Consolas" w:eastAsia="Consolas" w:hAnsi="Consolas"/>
        </w:rPr>
        <w:t xml:space="preserve">monitoring/Supplier Incident First 60-Minute Questions.docx</w:t>
      </w:r>
    </w:p>
    <w:p>
      <w:pPr>
        <w:pStyle w:val="ListParagraph"/>
        <w:numPr>
          <w:ilvl w:val="0"/>
          <w:numId w:val="1"/>
        </w:numPr>
      </w:pPr>
      <w:r>
        <w:t xml:space="preserve">Full incident information request: </w:t>
      </w:r>
      <w:r>
        <w:rPr>
          <w:rStyle w:val="code"/>
          <w:rFonts w:ascii="Consolas" w:cs="Consolas" w:eastAsia="Consolas" w:hAnsi="Consolas"/>
        </w:rPr>
        <w:t xml:space="preserve">monitoring/Supplier Incident Information Request.docx</w:t>
      </w:r>
    </w:p>
    <w:p>
      <w:r>
        <w:t xml:space="preserve">Output: Updated supplier posture, actions tracked to closure, and reassessment evidence retained.</w:t>
      </w:r>
    </w:p>
    <w:p>
      <w:pPr>
        <w:pStyle w:val="Heading2"/>
      </w:pPr>
      <w:bookmarkStart w:name="8)-report-it-(kpis/kris-and-packs)" w:id="1"/>
      <w:r>
        <w:t xml:space="preserve">8) Report it (KPIs/KRIs and packs)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Reporting pack guidance: </w:t>
      </w:r>
      <w:r>
        <w:rPr>
          <w:rStyle w:val="code"/>
          <w:rFonts w:ascii="Consolas" w:cs="Consolas" w:eastAsia="Consolas" w:hAnsi="Consolas"/>
        </w:rPr>
        <w:t xml:space="preserve">metrics/Reporting Pack Guidance.pdf</w:t>
      </w:r>
    </w:p>
    <w:p>
      <w:pPr>
        <w:pStyle w:val="ListParagraph"/>
        <w:numPr>
          <w:ilvl w:val="0"/>
          <w:numId w:val="1"/>
        </w:numPr>
      </w:pPr>
      <w:r>
        <w:t xml:space="preserve">Weekly operational scoreboard template: </w:t>
      </w:r>
      <w:r>
        <w:rPr>
          <w:rStyle w:val="code"/>
          <w:rFonts w:ascii="Consolas" w:cs="Consolas" w:eastAsia="Consolas" w:hAnsi="Consolas"/>
        </w:rPr>
        <w:t xml:space="preserve">metrics/Weekly Operational Scoreboard — Template.docx</w:t>
      </w:r>
    </w:p>
    <w:p>
      <w:r>
        <w:t xml:space="preserve">(Program-level KPI/KRI references currently sit in </w:t>
      </w:r>
      <w:r>
        <w:rPr>
          <w:rStyle w:val="code"/>
          <w:rFonts w:ascii="Consolas" w:cs="Consolas" w:eastAsia="Consolas" w:hAnsi="Consolas"/>
        </w:rPr>
        <w:t xml:space="preserve">program-charter/</w:t>
      </w:r>
      <w:r>
        <w:t xml:space="preserve">):</w:t>
      </w:r>
    </w:p>
    <w:p>
      <w:pPr>
        <w:pStyle w:val="ListParagraph"/>
        <w:numPr>
          <w:ilvl w:val="0"/>
          <w:numId w:val="1"/>
        </w:numPr>
      </w:pPr>
      <w:r>
        <w:t xml:space="preserve">KPI/KRI set: </w:t>
      </w:r>
      <w:r>
        <w:rPr>
          <w:rStyle w:val="code"/>
          <w:rFonts w:ascii="Consolas" w:cs="Consolas" w:eastAsia="Consolas" w:hAnsi="Consolas"/>
        </w:rPr>
        <w:t xml:space="preserve">program-charter/KPI_KRI.pdf</w:t>
      </w:r>
    </w:p>
    <w:p>
      <w:pPr>
        <w:pStyle w:val="ListParagraph"/>
        <w:numPr>
          <w:ilvl w:val="0"/>
          <w:numId w:val="1"/>
        </w:numPr>
      </w:pPr>
      <w:r>
        <w:t xml:space="preserve">Monthly dashboard template: </w:t>
      </w:r>
      <w:r>
        <w:rPr>
          <w:rStyle w:val="code"/>
          <w:rFonts w:ascii="Consolas" w:cs="Consolas" w:eastAsia="Consolas" w:hAnsi="Consolas"/>
        </w:rPr>
        <w:t xml:space="preserve">program-charter/Monthly Third-Party Security Dashboard.docx</w:t>
      </w:r>
    </w:p>
    <w:p>
      <w:r>
        <w:t xml:space="preserve">Output: Weekly throughput control + monthly risk posture reporting.</w:t>
      </w:r>
    </w:p>
    <w:p>
      <w:pPr>
        <w:pStyle w:val="Heading1"/>
      </w:pPr>
      <w:bookmarkStart w:name="common-“front-door”-templates" w:id="1"/>
      <w:r>
        <w:t xml:space="preserve">Common “front door” templates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Supplier intake form: </w:t>
      </w:r>
      <w:r>
        <w:rPr>
          <w:rStyle w:val="code"/>
          <w:rFonts w:ascii="Consolas" w:cs="Consolas" w:eastAsia="Consolas" w:hAnsi="Consolas"/>
        </w:rPr>
        <w:t xml:space="preserve">program-charter/Supplier intake form.pdf</w:t>
      </w:r>
    </w:p>
    <w:p>
      <w:pPr>
        <w:pStyle w:val="ListParagraph"/>
        <w:numPr>
          <w:ilvl w:val="0"/>
          <w:numId w:val="1"/>
        </w:numPr>
      </w:pPr>
      <w:r>
        <w:t xml:space="preserve">Supplier risk assessment template: </w:t>
      </w:r>
      <w:r>
        <w:rPr>
          <w:rStyle w:val="code"/>
          <w:rFonts w:ascii="Consolas" w:cs="Consolas" w:eastAsia="Consolas" w:hAnsi="Consolas"/>
        </w:rPr>
        <w:t xml:space="preserve">contracts/Supplier Security Risk Assessment Template.docx</w:t>
      </w:r>
    </w:p>
    <w:p>
      <w:pPr>
        <w:pStyle w:val="ListParagraph"/>
        <w:numPr>
          <w:ilvl w:val="0"/>
          <w:numId w:val="1"/>
        </w:numPr>
      </w:pPr>
      <w:r>
        <w:t xml:space="preserve">Operating SLAs: </w:t>
      </w:r>
      <w:r>
        <w:rPr>
          <w:rStyle w:val="code"/>
          <w:rFonts w:ascii="Consolas" w:cs="Consolas" w:eastAsia="Consolas" w:hAnsi="Consolas"/>
        </w:rPr>
        <w:t xml:space="preserve">operating-model/Intake SLA &amp; Prioritisation Standard.pdf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2026-05-19T12:23:18.240Z</dcterms:created>
  <dcterms:modified xsi:type="dcterms:W3CDTF">2026-05-19T12:23:18.240Z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