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tier-2-(important)-supplier-evidence-pack-—-request-list" w:id="1"/>
      <w:r>
        <w:t xml:space="preserve">Tier 2 (Important) Supplier Evidence Pack — Request List</w:t>
      </w:r>
      <w:bookmarkEnd w:id="1"/>
    </w:p>
    <w:p>
      <w:r>
        <w:t xml:space="preserve">Purpose: This request supports due diligence for an </w:t>
      </w:r>
      <w:r>
        <w:rPr>
          <w:b/>
          <w:bCs/>
        </w:rPr>
        <w:t xml:space="preserve">Important</w:t>
      </w:r>
      <w:r>
        <w:t xml:space="preserve"> supplier with meaningful integration and/or limited sensitive data exposure, but without Critical-tier triggers (privileged production access, persistent connectivity, or critical business service dependency). Provide evidence where available; if a control isn’t met, describe the gap and your remediation plan/timeline.</w:t>
      </w:r>
    </w:p>
    <w:p>
      <w:r>
        <w:t xml:space="preserve">Supplier: ___________________________ Service: _______________________________ Assessment date: _____________________ Supplier contact: ______________________ Our reference: _______________________ Target go-live/renewal: ________________</w:t>
      </w:r>
    </w:p>
    <w:p>
      <w:pPr>
        <w:pStyle w:val="Heading1"/>
      </w:pPr>
      <w:bookmarkStart w:name="1)-service-overview-and-scope" w:id="1"/>
      <w:r>
        <w:t xml:space="preserve">1) Service overview and scope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Brief service description and how it will be used</w:t>
      </w:r>
    </w:p>
    <w:p>
      <w:pPr>
        <w:pStyle w:val="ListParagraph"/>
        <w:numPr>
          <w:ilvl w:val="0"/>
          <w:numId w:val="1"/>
        </w:numPr>
      </w:pPr>
      <w:r>
        <w:t xml:space="preserve">Hosting/processing locations (regions)</w:t>
      </w:r>
    </w:p>
    <w:p>
      <w:pPr>
        <w:pStyle w:val="ListParagraph"/>
        <w:numPr>
          <w:ilvl w:val="0"/>
          <w:numId w:val="1"/>
        </w:numPr>
      </w:pPr>
      <w:r>
        <w:t xml:space="preserve">High-level data flow description (what data enters/leaves the service)</w:t>
      </w:r>
    </w:p>
    <w:p>
      <w:pPr>
        <w:pStyle w:val="Heading1"/>
      </w:pPr>
      <w:bookmarkStart w:name="2)-data-handling-and-privacy-(as-applicable)" w:id="1"/>
      <w:r>
        <w:t xml:space="preserve">2) Data handling and privacy (as applicable)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Data types processed/stored/transmitted (confirm if any PII)</w:t>
      </w:r>
    </w:p>
    <w:p>
      <w:pPr>
        <w:pStyle w:val="ListParagraph"/>
        <w:numPr>
          <w:ilvl w:val="0"/>
          <w:numId w:val="1"/>
        </w:numPr>
      </w:pPr>
      <w:r>
        <w:t xml:space="preserve">Data retention and deletion approach (high level)</w:t>
      </w:r>
    </w:p>
    <w:p>
      <w:pPr>
        <w:pStyle w:val="ListParagraph"/>
        <w:numPr>
          <w:ilvl w:val="0"/>
          <w:numId w:val="1"/>
        </w:numPr>
      </w:pPr>
      <w:r>
        <w:t xml:space="preserve">Sub-processor list (or confirmation of published list) and change notification approach</w:t>
      </w:r>
    </w:p>
    <w:p>
      <w:pPr>
        <w:pStyle w:val="ListParagraph"/>
        <w:numPr>
          <w:ilvl w:val="0"/>
          <w:numId w:val="1"/>
        </w:numPr>
      </w:pPr>
      <w:r>
        <w:t xml:space="preserve">DPA availability if personal data is processed (template acceptable)</w:t>
      </w:r>
    </w:p>
    <w:p>
      <w:pPr>
        <w:pStyle w:val="Heading1"/>
      </w:pPr>
      <w:bookmarkStart w:name="3)-identity-and-access-management" w:id="1"/>
      <w:r>
        <w:t xml:space="preserve">3) Identity and access management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MFA enforcement approach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SSO support (SAML/OIDC) and RBAC/role model summary</w:t>
      </w:r>
    </w:p>
    <w:p>
      <w:pPr>
        <w:pStyle w:val="ListParagraph"/>
        <w:numPr>
          <w:ilvl w:val="0"/>
          <w:numId w:val="1"/>
        </w:numPr>
      </w:pPr>
      <w:r>
        <w:t xml:space="preserve">Joiner/mover/leaver process (or provisioning approach; SCIM if supported)</w:t>
      </w:r>
    </w:p>
    <w:p>
      <w:r>
        <w:t xml:space="preserve">Evidence examples (acceptable):</w:t>
      </w:r>
    </w:p>
    <w:p>
      <w:pPr>
        <w:pStyle w:val="ListParagraph"/>
        <w:numPr>
          <w:ilvl w:val="0"/>
          <w:numId w:val="1"/>
        </w:numPr>
      </w:pPr>
      <w:r>
        <w:t xml:space="preserve">IAM/SSO configuration guide or screenshots (redacted)</w:t>
      </w:r>
    </w:p>
    <w:p>
      <w:pPr>
        <w:pStyle w:val="ListParagraph"/>
        <w:numPr>
          <w:ilvl w:val="0"/>
          <w:numId w:val="1"/>
        </w:numPr>
      </w:pPr>
      <w:r>
        <w:t xml:space="preserve">Role catalogue or RBAC description (high level)</w:t>
      </w:r>
    </w:p>
    <w:p>
      <w:pPr>
        <w:pStyle w:val="Heading1"/>
      </w:pPr>
      <w:bookmarkStart w:name="4)-integration-and-connectivity-(only-what-applies)" w:id="1"/>
      <w:r>
        <w:t xml:space="preserve">4) Integration and connectivity (only what applies)</w:t>
      </w:r>
      <w:bookmarkEnd w:id="1"/>
    </w:p>
    <w:p>
      <w:r>
        <w:t xml:space="preserve">If SSO only:</w:t>
      </w:r>
    </w:p>
    <w:p>
      <w:pPr>
        <w:pStyle w:val="ListParagraph"/>
        <w:numPr>
          <w:ilvl w:val="0"/>
          <w:numId w:val="1"/>
        </w:numPr>
      </w:pPr>
      <w:r>
        <w:t xml:space="preserve">confirm SSO method and any restrictions/requirements</w:t>
      </w:r>
    </w:p>
    <w:p>
      <w:r>
        <w:t xml:space="preserve">If API integration:</w:t>
      </w:r>
    </w:p>
    <w:p>
      <w:pPr>
        <w:pStyle w:val="ListParagraph"/>
        <w:numPr>
          <w:ilvl w:val="0"/>
          <w:numId w:val="1"/>
        </w:numPr>
      </w:pPr>
      <w:r>
        <w:t xml:space="preserve">auth method (OAuth/client credentials/API key)</w:t>
      </w:r>
    </w:p>
    <w:p>
      <w:pPr>
        <w:pStyle w:val="ListParagraph"/>
        <w:numPr>
          <w:ilvl w:val="0"/>
          <w:numId w:val="1"/>
        </w:numPr>
      </w:pPr>
      <w:r>
        <w:t xml:space="preserve">permissions/scopes granularity and least-privilege approach</w:t>
      </w:r>
    </w:p>
    <w:p>
      <w:pPr>
        <w:pStyle w:val="ListParagraph"/>
        <w:numPr>
          <w:ilvl w:val="0"/>
          <w:numId w:val="1"/>
        </w:numPr>
      </w:pPr>
      <w:r>
        <w:t xml:space="preserve">token/key storage and rotation approach (high level)</w:t>
      </w:r>
    </w:p>
    <w:p>
      <w:r>
        <w:t xml:space="preserve">If agent/collector:</w:t>
      </w:r>
    </w:p>
    <w:p>
      <w:pPr>
        <w:pStyle w:val="ListParagraph"/>
        <w:numPr>
          <w:ilvl w:val="0"/>
          <w:numId w:val="1"/>
        </w:numPr>
      </w:pPr>
      <w:r>
        <w:t xml:space="preserve">permissions required and update process (high level)</w:t>
      </w:r>
    </w:p>
    <w:p>
      <w:r>
        <w:t xml:space="preserve">If persistent connectivity/inbound access is required:</w:t>
      </w:r>
    </w:p>
    <w:p>
      <w:pPr>
        <w:pStyle w:val="ListParagraph"/>
        <w:numPr>
          <w:ilvl w:val="0"/>
          <w:numId w:val="1"/>
        </w:numPr>
      </w:pPr>
      <w:r>
        <w:t xml:space="preserve">stop and flag this as likely Tier 1; provide high-level justification and design summary</w:t>
      </w:r>
    </w:p>
    <w:p>
      <w:pPr>
        <w:pStyle w:val="Heading1"/>
      </w:pPr>
      <w:bookmarkStart w:name="5)-logging-and-auditability" w:id="1"/>
      <w:r>
        <w:t xml:space="preserve">5) Logging and auditability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Availability of audit logs for admin actions and authentication events (where supported)</w:t>
      </w:r>
    </w:p>
    <w:p>
      <w:pPr>
        <w:pStyle w:val="ListParagraph"/>
        <w:numPr>
          <w:ilvl w:val="0"/>
          <w:numId w:val="1"/>
        </w:numPr>
      </w:pPr>
      <w:r>
        <w:t xml:space="preserve">Log retention period(s)</w:t>
      </w:r>
    </w:p>
    <w:p>
      <w:pPr>
        <w:pStyle w:val="ListParagraph"/>
        <w:numPr>
          <w:ilvl w:val="0"/>
          <w:numId w:val="1"/>
        </w:numPr>
      </w:pPr>
      <w:r>
        <w:t xml:space="preserve">Log retrieval method (portal export/API/forwarding if supported)</w:t>
      </w:r>
    </w:p>
    <w:p>
      <w:r>
        <w:t xml:space="preserve">Evidence examples:</w:t>
      </w:r>
    </w:p>
    <w:p>
      <w:pPr>
        <w:pStyle w:val="ListParagraph"/>
        <w:numPr>
          <w:ilvl w:val="0"/>
          <w:numId w:val="1"/>
        </w:numPr>
      </w:pPr>
      <w:r>
        <w:t xml:space="preserve">Logging documentation</w:t>
      </w:r>
    </w:p>
    <w:p>
      <w:pPr>
        <w:pStyle w:val="ListParagraph"/>
        <w:numPr>
          <w:ilvl w:val="0"/>
          <w:numId w:val="1"/>
        </w:numPr>
      </w:pPr>
      <w:r>
        <w:t xml:space="preserve">Sample audit log fields (redacted)</w:t>
      </w:r>
    </w:p>
    <w:p>
      <w:pPr>
        <w:pStyle w:val="Heading1"/>
      </w:pPr>
      <w:bookmarkStart w:name="6)-vulnerability-management-and-security-testing" w:id="1"/>
      <w:r>
        <w:t xml:space="preserve">6) Vulnerability management and security testing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Vulnerability management process and patch/remediation approach (high level)</w:t>
      </w:r>
    </w:p>
    <w:p>
      <w:pPr>
        <w:pStyle w:val="ListParagraph"/>
        <w:numPr>
          <w:ilvl w:val="0"/>
          <w:numId w:val="1"/>
        </w:numPr>
      </w:pPr>
      <w:r>
        <w:t xml:space="preserve">Last penetration test (executive summary acceptable) OR alternative testing/assurance evidence appropriate to the service</w:t>
      </w:r>
    </w:p>
    <w:p>
      <w:r>
        <w:t xml:space="preserve">Evidence examples:</w:t>
      </w:r>
    </w:p>
    <w:p>
      <w:pPr>
        <w:pStyle w:val="ListParagraph"/>
        <w:numPr>
          <w:ilvl w:val="0"/>
          <w:numId w:val="1"/>
        </w:numPr>
      </w:pPr>
      <w:r>
        <w:t xml:space="preserve">Vulnerability management policy excerpt or summary</w:t>
      </w:r>
    </w:p>
    <w:p>
      <w:pPr>
        <w:pStyle w:val="ListParagraph"/>
        <w:numPr>
          <w:ilvl w:val="0"/>
          <w:numId w:val="1"/>
        </w:numPr>
      </w:pPr>
      <w:r>
        <w:t xml:space="preserve">Pen test executive summary + remediation status (redacted)</w:t>
      </w:r>
    </w:p>
    <w:p>
      <w:pPr>
        <w:pStyle w:val="Heading1"/>
      </w:pPr>
      <w:bookmarkStart w:name="7)-incident-response-and-notification" w:id="1"/>
      <w:r>
        <w:t xml:space="preserve">7) Incident response and notification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Incident response process summary</w:t>
      </w:r>
    </w:p>
    <w:p>
      <w:pPr>
        <w:pStyle w:val="ListParagraph"/>
        <w:numPr>
          <w:ilvl w:val="0"/>
          <w:numId w:val="1"/>
        </w:numPr>
      </w:pPr>
      <w:r>
        <w:t xml:space="preserve">Notification commitment (time to notify customers of material incidents)</w:t>
      </w:r>
    </w:p>
    <w:p>
      <w:pPr>
        <w:pStyle w:val="ListParagraph"/>
        <w:numPr>
          <w:ilvl w:val="0"/>
          <w:numId w:val="1"/>
        </w:numPr>
      </w:pPr>
      <w:r>
        <w:t xml:space="preserve">Named incident/security contact details</w:t>
      </w:r>
    </w:p>
    <w:p>
      <w:r>
        <w:t xml:space="preserve">Evidence examples:</w:t>
      </w:r>
    </w:p>
    <w:p>
      <w:pPr>
        <w:pStyle w:val="ListParagraph"/>
        <w:numPr>
          <w:ilvl w:val="0"/>
          <w:numId w:val="1"/>
        </w:numPr>
      </w:pPr>
      <w:r>
        <w:t xml:space="preserve">IR overview/runbook excerpt (high level)</w:t>
      </w:r>
    </w:p>
    <w:p>
      <w:pPr>
        <w:pStyle w:val="ListParagraph"/>
        <w:numPr>
          <w:ilvl w:val="0"/>
          <w:numId w:val="1"/>
        </w:numPr>
      </w:pPr>
      <w:r>
        <w:t xml:space="preserve">Notification clause or statement</w:t>
      </w:r>
    </w:p>
    <w:p>
      <w:pPr>
        <w:pStyle w:val="Heading1"/>
      </w:pPr>
      <w:bookmarkStart w:name="8)-resilience-(proportionate)" w:id="1"/>
      <w:r>
        <w:t xml:space="preserve">8) Resilience (proportionate)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Availability posture (high level) and backup/restore approach if the supplier stores in-scope data</w:t>
      </w:r>
    </w:p>
    <w:p>
      <w:pPr>
        <w:pStyle w:val="ListParagraph"/>
        <w:numPr>
          <w:ilvl w:val="0"/>
          <w:numId w:val="1"/>
        </w:numPr>
      </w:pPr>
      <w:r>
        <w:t xml:space="preserve">Any known limitations or dependencies</w:t>
      </w:r>
    </w:p>
    <w:p>
      <w:pPr>
        <w:pStyle w:val="Heading1"/>
      </w:pPr>
      <w:bookmarkStart w:name="9)-assurance-artifacts-(provide-what-you-have)" w:id="1"/>
      <w:r>
        <w:t xml:space="preserve">9) Assurance artifacts (provide what you have)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ISO 27001 certificate/scope and/or SOC report (if available)</w:t>
      </w:r>
    </w:p>
    <w:p>
      <w:pPr>
        <w:pStyle w:val="ListParagraph"/>
        <w:numPr>
          <w:ilvl w:val="0"/>
          <w:numId w:val="1"/>
        </w:numPr>
      </w:pPr>
      <w:r>
        <w:t xml:space="preserve">If not available, provide alternative assurance evidence (pen test summary, internal audit summary, control overview)</w:t>
      </w:r>
    </w:p>
    <w:p>
      <w:pPr>
        <w:pStyle w:val="Heading1"/>
      </w:pPr>
      <w:bookmarkStart w:name="10)-gaps-and-remediation-plan" w:id="1"/>
      <w:r>
        <w:t xml:space="preserve">10) Gaps and remediation plan</w:t>
      </w:r>
      <w:bookmarkEnd w:id="1"/>
    </w:p>
    <w:p>
      <w:r>
        <w:t xml:space="preserve">If any requested item cannot be provided or a baseline control is not met, provide:</w:t>
      </w:r>
    </w:p>
    <w:p>
      <w:pPr>
        <w:pStyle w:val="ListParagraph"/>
        <w:numPr>
          <w:ilvl w:val="0"/>
          <w:numId w:val="1"/>
        </w:numPr>
      </w:pPr>
      <w:r>
        <w:t xml:space="preserve">the gap</w:t>
      </w:r>
    </w:p>
    <w:p>
      <w:pPr>
        <w:pStyle w:val="ListParagraph"/>
        <w:numPr>
          <w:ilvl w:val="0"/>
          <w:numId w:val="1"/>
        </w:numPr>
      </w:pPr>
      <w:r>
        <w:t xml:space="preserve">compensating control(s)</w:t>
      </w:r>
    </w:p>
    <w:p>
      <w:pPr>
        <w:pStyle w:val="ListParagraph"/>
        <w:numPr>
          <w:ilvl w:val="0"/>
          <w:numId w:val="1"/>
        </w:numPr>
      </w:pPr>
      <w:r>
        <w:t xml:space="preserve">remediation plan with target date</w:t>
      </w:r>
    </w:p>
    <w:p>
      <w:pPr>
        <w:pStyle w:val="ListParagraph"/>
        <w:numPr>
          <w:ilvl w:val="0"/>
          <w:numId w:val="1"/>
        </w:numPr>
      </w:pPr>
      <w:r>
        <w:t xml:space="preserve">owner (role title)</w:t>
      </w:r>
    </w:p>
    <w:p>
      <w:pPr>
        <w:pBdr>
          <w:top w:val="single" w:sz="6"/>
        </w:pBdr>
      </w:pPr>
    </w:p>
    <w:p>
      <w:pPr>
        <w:pStyle w:val="Heading1"/>
      </w:pPr>
      <w:bookmarkStart w:name="notes" w:id="1"/>
      <w:r>
        <w:t xml:space="preserve">Notes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Redact sensitive information (keys, internal IPs, usernames), but keep evidence meaningful.</w:t>
      </w:r>
    </w:p>
    <w:p>
      <w:pPr>
        <w:pStyle w:val="ListParagraph"/>
        <w:numPr>
          <w:ilvl w:val="0"/>
          <w:numId w:val="1"/>
        </w:numPr>
      </w:pPr>
      <w:r>
        <w:t xml:space="preserve">If during this assessment it becomes clear the supplier requires </w:t>
      </w:r>
      <w:r>
        <w:rPr>
          <w:b/>
          <w:bCs/>
        </w:rPr>
        <w:t xml:space="preserve">privileged production access</w:t>
      </w:r>
      <w:r>
        <w:t xml:space="preserve">, </w:t>
      </w:r>
      <w:r>
        <w:rPr>
          <w:b/>
          <w:bCs/>
        </w:rPr>
        <w:t xml:space="preserve">persistent connectivity</w:t>
      </w:r>
      <w:r>
        <w:t xml:space="preserve">, or supports a </w:t>
      </w:r>
      <w:r>
        <w:rPr>
          <w:b/>
          <w:bCs/>
        </w:rPr>
        <w:t xml:space="preserve">critical business service</w:t>
      </w:r>
      <w:r>
        <w:t xml:space="preserve">, the assessment will be escalated to </w:t>
      </w:r>
      <w:r>
        <w:rPr>
          <w:b/>
          <w:bCs/>
        </w:rPr>
        <w:t xml:space="preserve">Tier 1 (Critical)</w:t>
      </w:r>
      <w:r>
        <w:t xml:space="preserve">.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2026-05-19T10:30:36.047Z</dcterms:created>
  <dcterms:modified xsi:type="dcterms:W3CDTF">2026-05-19T10:30:36.047Z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