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71017651" w14:textId="77777777" w:rsidR="004F1CB0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</w:p>
    <w:p w14:paraId="2C0573EA" w14:textId="68C4B073" w:rsidR="006117DF" w:rsidRPr="00E965EC" w:rsidRDefault="004F1CB0" w:rsidP="004F1CB0">
      <w:pPr>
        <w:pStyle w:val="ListParagraph"/>
        <w:numPr>
          <w:ilvl w:val="0"/>
          <w:numId w:val="11"/>
        </w:numPr>
      </w:pPr>
      <w:r>
        <w:t xml:space="preserve">Replaces 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>RDE1571 Associated feature ValueSet</w:t>
      </w:r>
      <w:r w:rsidR="006117DF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4F1CB0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60155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17</cp:revision>
  <dcterms:created xsi:type="dcterms:W3CDTF">2022-02-13T14:45:00Z</dcterms:created>
  <dcterms:modified xsi:type="dcterms:W3CDTF">2022-11-16T03:16:00Z</dcterms:modified>
</cp:coreProperties>
</file>