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Heading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77777777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1DDCEA82" w14:textId="77777777" w:rsidTr="00FF5AE8">
        <w:trPr>
          <w:trHeight w:val="728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198DD9C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425C26B" w14:textId="77777777" w:rsidTr="00FF5AE8">
        <w:trPr>
          <w:trHeight w:val="595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1A30EC8C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commentRangeStart w:id="0"/>
            <w:r w:rsidRPr="00AA3945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oMath>
          </w:p>
        </w:tc>
      </w:tr>
      <w:tr w:rsidR="004D4CB3" w14:paraId="016BE24F" w14:textId="77777777" w:rsidTr="00FF5AE8">
        <w:trPr>
          <w:trHeight w:val="579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FF5AE8">
        <w:trPr>
          <w:trHeight w:val="621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C32C3E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6D2B7615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C32C3E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2D36AF5A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269E3CE9" w14:textId="77777777" w:rsidTr="00FF5AE8">
        <w:trPr>
          <w:trHeight w:val="278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(n!)</m:t>
              </m:r>
            </m:oMath>
          </w:p>
        </w:tc>
      </w:tr>
      <w:tr w:rsidR="004D4CB3" w14:paraId="298D3370" w14:textId="77777777" w:rsidTr="00FF5AE8">
        <w:trPr>
          <w:trHeight w:val="278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C32C3E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0D1823C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bookmarkStart w:id="1" w:name="_GoBack"/>
        <w:bookmarkEnd w:id="1"/>
      </w:tr>
      <w:tr w:rsidR="004D4CB3" w14:paraId="4CCB1377" w14:textId="77777777" w:rsidTr="00FF5AE8">
        <w:trPr>
          <w:trHeight w:val="278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5D6056D" w14:textId="77777777" w:rsidTr="00FF5AE8">
        <w:trPr>
          <w:trHeight w:val="278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7F99B281" w14:textId="77777777" w:rsidTr="00FF5AE8">
        <w:trPr>
          <w:trHeight w:val="285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384EB2">
        <w:trPr>
          <w:trHeight w:val="979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commentRangeStart w:id="2"/>
        <w:tc>
          <w:tcPr>
            <w:tcW w:w="5222" w:type="dxa"/>
          </w:tcPr>
          <w:p w14:paraId="5C0DB021" w14:textId="77FE6C1B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  <w:commentRangeEnd w:id="2"/>
                <m:r>
                  <m:rPr>
                    <m:sty m:val="p"/>
                  </m:rPr>
                  <w:rPr>
                    <w:rStyle w:val="CommentReference"/>
                  </w:rPr>
                  <w:commentReference w:id="2"/>
                </m:r>
              </m:oMath>
            </m:oMathPara>
          </w:p>
        </w:tc>
        <w:tc>
          <w:tcPr>
            <w:tcW w:w="1984" w:type="dxa"/>
          </w:tcPr>
          <w:p w14:paraId="142AC8A5" w14:textId="77777777"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FF5AE8">
        <w:trPr>
          <w:trHeight w:val="429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B96BD4D" w14:textId="77777777" w:rsidTr="00FF5AE8">
        <w:trPr>
          <w:trHeight w:val="531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14:paraId="4BA9C927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380B1033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C32C3E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13A5127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functionM</w:t>
      </w:r>
      <w:proofErr w:type="spellEnd"/>
      <w:r>
        <w:rPr>
          <w:lang w:val="en-GB"/>
        </w:rPr>
        <w:t xml:space="preserve">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Heading2"/>
        <w:rPr>
          <w:lang w:val="en-GB"/>
        </w:rPr>
      </w:pPr>
    </w:p>
    <w:p w14:paraId="3DC2E605" w14:textId="7C4DD94C" w:rsidR="00503C2A" w:rsidRPr="006020D4" w:rsidRDefault="00503C2A" w:rsidP="00503C2A">
      <w:pPr>
        <w:pStyle w:val="Heading2"/>
        <w:rPr>
          <w:lang w:val="en-GB"/>
        </w:rPr>
      </w:pPr>
      <w:r w:rsidRPr="006020D4">
        <w:rPr>
          <w:lang w:val="en-GB"/>
        </w:rPr>
        <w:t>Union Find</w:t>
      </w:r>
    </w:p>
    <w:p w14:paraId="78FF2DCC" w14:textId="600A3B83" w:rsidR="00503C2A" w:rsidRDefault="00503C2A" w:rsidP="00503C2A">
      <w:pPr>
        <w:rPr>
          <w:lang w:val="en-GB"/>
        </w:rPr>
      </w:pPr>
      <w:r w:rsidRPr="00503C2A">
        <w:rPr>
          <w:lang w:val="en-GB"/>
        </w:rPr>
        <w:t>c) In this implementation (using a</w:t>
      </w:r>
      <w:r>
        <w:rPr>
          <w:lang w:val="en-GB"/>
        </w:rPr>
        <w:t xml:space="preserve">n integer array,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]), it is not possible. We need to set the lesser root of p and q as root of the combined set, to keep track of the oldest account. Which excludes the option to </w:t>
      </w:r>
      <w:r w:rsidR="00357668">
        <w:rPr>
          <w:lang w:val="en-GB"/>
        </w:rPr>
        <w:t xml:space="preserve">always </w:t>
      </w:r>
      <w:r>
        <w:rPr>
          <w:lang w:val="en-GB"/>
        </w:rPr>
        <w:t xml:space="preserve">choose the tallest tree as root. </w:t>
      </w:r>
    </w:p>
    <w:p w14:paraId="3FCE8774" w14:textId="280DBB3E" w:rsidR="00503C2A" w:rsidRDefault="00503C2A" w:rsidP="00503C2A">
      <w:pPr>
        <w:rPr>
          <w:lang w:val="en-GB"/>
        </w:rPr>
      </w:pPr>
      <w:r>
        <w:rPr>
          <w:lang w:val="en-GB"/>
        </w:rPr>
        <w:t xml:space="preserve">If we were to solve the problem using node objects in the tree structure, </w:t>
      </w:r>
      <w:r w:rsidR="008866F7">
        <w:rPr>
          <w:lang w:val="en-GB"/>
        </w:rPr>
        <w:t xml:space="preserve">one could perform weighted union, swapping the values of the root nodes if the lesser root is the top of the shorter tree.  </w:t>
      </w:r>
    </w:p>
    <w:p w14:paraId="33E8E208" w14:textId="69FAC5EB" w:rsidR="0025595E" w:rsidRDefault="00A63D73" w:rsidP="0025595E">
      <w:pPr>
        <w:pStyle w:val="Heading3"/>
        <w:rPr>
          <w:lang w:val="en-GB"/>
        </w:rPr>
      </w:pPr>
      <w:r>
        <w:rPr>
          <w:lang w:val="en-GB"/>
        </w:rPr>
        <w:t xml:space="preserve">d) </w:t>
      </w:r>
      <w:r w:rsidR="0025595E">
        <w:rPr>
          <w:lang w:val="en-GB"/>
        </w:rPr>
        <w:t>Scheme</w:t>
      </w:r>
    </w:p>
    <w:p w14:paraId="18E05628" w14:textId="7C818B6D" w:rsidR="00A63D73" w:rsidRDefault="001D3204" w:rsidP="00503C2A">
      <w:pPr>
        <w:rPr>
          <w:lang w:val="en-GB"/>
        </w:rPr>
      </w:pP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 xml:space="preserve">n-1, n-2), then union(n-2, n-3), then union(n-3, n-4) … union(n-(n-1), n-n). Now </w:t>
      </w:r>
      <w:r w:rsidR="0025595E">
        <w:rPr>
          <w:lang w:val="en-GB"/>
        </w:rPr>
        <w:t>a</w:t>
      </w:r>
      <w:r>
        <w:rPr>
          <w:lang w:val="en-GB"/>
        </w:rPr>
        <w:t xml:space="preserve"> call to find</w:t>
      </w:r>
      <w:r w:rsidR="0025595E">
        <w:rPr>
          <w:lang w:val="en-GB"/>
        </w:rPr>
        <w:t xml:space="preserve">(n-1) will access every element of the array. </w:t>
      </w:r>
      <w:r w:rsidR="00357668">
        <w:rPr>
          <w:lang w:val="en-GB"/>
        </w:rPr>
        <w:t>m = n.</w:t>
      </w:r>
    </w:p>
    <w:p w14:paraId="7768C99B" w14:textId="7AA7F1A4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Analysis</w:t>
      </w:r>
    </w:p>
    <w:p w14:paraId="17EE085B" w14:textId="5FAA9603" w:rsidR="0025595E" w:rsidRDefault="0025595E" w:rsidP="0025595E">
      <w:pPr>
        <w:rPr>
          <w:rFonts w:eastAsiaTheme="minorEastAsia"/>
          <w:lang w:val="en-GB"/>
        </w:rPr>
      </w:pPr>
      <w:r>
        <w:rPr>
          <w:lang w:val="en-GB"/>
        </w:rPr>
        <w:t xml:space="preserve">Each call of </w:t>
      </w: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>) with p and q being root or single elements, will access the array 3 times. Making such</w:t>
      </w:r>
      <w:r w:rsidR="00357668">
        <w:rPr>
          <w:lang w:val="en-GB"/>
        </w:rPr>
        <w:t xml:space="preserve"> calls n-1 times to create the tallest possible tree for n elements, means 3(n-1) accesses to the array. Adding a call to </w:t>
      </w:r>
      <w:r w:rsidR="00357668">
        <w:rPr>
          <w:lang w:val="en-GB"/>
        </w:rPr>
        <w:br/>
        <w:t xml:space="preserve">find(n-1) increases m to be equal to n, and the </w:t>
      </w:r>
      <w:proofErr w:type="gramStart"/>
      <w:r w:rsidR="00A544AA">
        <w:rPr>
          <w:lang w:val="en-GB"/>
        </w:rPr>
        <w:t>find(</w:t>
      </w:r>
      <w:proofErr w:type="gramEnd"/>
      <w:r w:rsidR="00A544AA">
        <w:rPr>
          <w:lang w:val="en-GB"/>
        </w:rPr>
        <w:t>)-</w:t>
      </w:r>
      <w:r w:rsidR="00357668">
        <w:rPr>
          <w:lang w:val="en-GB"/>
        </w:rPr>
        <w:t>call costs 2n-1 accesses. Hence</w:t>
      </w:r>
      <w:r w:rsidR="00A544AA">
        <w:rPr>
          <w:lang w:val="en-GB"/>
        </w:rPr>
        <w:t>:</w:t>
      </w:r>
      <w:r w:rsidR="00357668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A544AA" w14:paraId="7B81573A" w14:textId="77777777" w:rsidTr="00A544AA">
        <w:trPr>
          <w:trHeight w:val="391"/>
        </w:trPr>
        <w:tc>
          <w:tcPr>
            <w:tcW w:w="2097" w:type="dxa"/>
          </w:tcPr>
          <w:p w14:paraId="486E76A9" w14:textId="40B6BCE7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=5n-4</m:t>
                </m:r>
              </m:oMath>
            </m:oMathPara>
          </w:p>
        </w:tc>
        <w:tc>
          <w:tcPr>
            <w:tcW w:w="2097" w:type="dxa"/>
          </w:tcPr>
          <w:p w14:paraId="50CB02D7" w14:textId="55635B18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~5n</m:t>
                </m:r>
              </m:oMath>
            </m:oMathPara>
          </w:p>
        </w:tc>
        <w:tc>
          <w:tcPr>
            <w:tcW w:w="2097" w:type="dxa"/>
          </w:tcPr>
          <w:p w14:paraId="1738DCF5" w14:textId="6FBA5B06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</w:tr>
    </w:tbl>
    <w:p w14:paraId="3E7BBD45" w14:textId="77777777" w:rsidR="00A544AA" w:rsidRPr="0025595E" w:rsidRDefault="00A544AA" w:rsidP="0025595E">
      <w:pPr>
        <w:rPr>
          <w:lang w:val="en-GB"/>
        </w:rPr>
      </w:pPr>
    </w:p>
    <w:sectPr w:rsidR="00A544AA" w:rsidRPr="0025595E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-flip" w:date="2018-09-17T14:30:00Z" w:initials="C">
    <w:p w14:paraId="3A33A6E1" w14:textId="425582ED" w:rsidR="00AA3945" w:rsidRPr="00AA3945" w:rsidRDefault="00AA394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A3945">
        <w:rPr>
          <w:lang w:val="en-GB"/>
        </w:rPr>
        <w:t>Change to log n? (</w:t>
      </w:r>
      <w:proofErr w:type="spellStart"/>
      <w:r w:rsidRPr="00AA3945">
        <w:rPr>
          <w:lang w:val="en-GB"/>
        </w:rPr>
        <w:t>naturla</w:t>
      </w:r>
      <w:proofErr w:type="spellEnd"/>
      <w:r w:rsidRPr="00AA3945">
        <w:rPr>
          <w:lang w:val="en-GB"/>
        </w:rPr>
        <w:t xml:space="preserve"> logarit</w:t>
      </w:r>
      <w:r>
        <w:rPr>
          <w:lang w:val="en-GB"/>
        </w:rPr>
        <w:t>hm)</w:t>
      </w:r>
    </w:p>
  </w:comment>
  <w:comment w:id="2" w:author="Carl-flip" w:date="2018-09-17T16:58:00Z" w:initials="C">
    <w:p w14:paraId="4C959782" w14:textId="36E08F1E" w:rsidR="00C32C3E" w:rsidRPr="00C32C3E" w:rsidRDefault="00C32C3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32C3E">
        <w:rPr>
          <w:lang w:val="en-GB"/>
        </w:rPr>
        <w:t>Change sum notation to function (</w:t>
      </w:r>
      <w:r>
        <w:rPr>
          <w:lang w:val="en-GB"/>
        </w:rPr>
        <w:t>wolfram</w:t>
      </w:r>
      <w:proofErr w:type="gramStart"/>
      <w:r>
        <w:rPr>
          <w:lang w:val="en-GB"/>
        </w:rPr>
        <w:t>)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3A6E1" w15:done="0"/>
  <w15:commentEx w15:paraId="4C9597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3A6E1" w16cid:durableId="1F4A38E8"/>
  <w16cid:commentId w16cid:paraId="4C959782" w16cid:durableId="1F4A5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9200F"/>
    <w:rsid w:val="000C11CC"/>
    <w:rsid w:val="000E4E39"/>
    <w:rsid w:val="00112E22"/>
    <w:rsid w:val="001437E4"/>
    <w:rsid w:val="0016133D"/>
    <w:rsid w:val="001C2082"/>
    <w:rsid w:val="001D3204"/>
    <w:rsid w:val="001E696C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31652"/>
    <w:rsid w:val="005340E1"/>
    <w:rsid w:val="00536D84"/>
    <w:rsid w:val="00572B86"/>
    <w:rsid w:val="00592AEC"/>
    <w:rsid w:val="005A037B"/>
    <w:rsid w:val="005A7144"/>
    <w:rsid w:val="006020D4"/>
    <w:rsid w:val="00607092"/>
    <w:rsid w:val="006278A7"/>
    <w:rsid w:val="006A60CF"/>
    <w:rsid w:val="006D7452"/>
    <w:rsid w:val="007C1DD7"/>
    <w:rsid w:val="007F1FAC"/>
    <w:rsid w:val="008453C6"/>
    <w:rsid w:val="008866F7"/>
    <w:rsid w:val="00886CDD"/>
    <w:rsid w:val="00894674"/>
    <w:rsid w:val="008B1FC1"/>
    <w:rsid w:val="008C4888"/>
    <w:rsid w:val="008D78BC"/>
    <w:rsid w:val="009221CB"/>
    <w:rsid w:val="009701A0"/>
    <w:rsid w:val="009D12A0"/>
    <w:rsid w:val="00A31D57"/>
    <w:rsid w:val="00A446E1"/>
    <w:rsid w:val="00A544AA"/>
    <w:rsid w:val="00A63D73"/>
    <w:rsid w:val="00AA3945"/>
    <w:rsid w:val="00AD3F30"/>
    <w:rsid w:val="00B07C8C"/>
    <w:rsid w:val="00B24CFC"/>
    <w:rsid w:val="00BE55B1"/>
    <w:rsid w:val="00C32C3E"/>
    <w:rsid w:val="00C50521"/>
    <w:rsid w:val="00C52CCD"/>
    <w:rsid w:val="00C542F1"/>
    <w:rsid w:val="00C96413"/>
    <w:rsid w:val="00CE5201"/>
    <w:rsid w:val="00D516FD"/>
    <w:rsid w:val="00E93119"/>
    <w:rsid w:val="00EA5025"/>
    <w:rsid w:val="00EB2FA8"/>
    <w:rsid w:val="00F01360"/>
    <w:rsid w:val="00F84151"/>
    <w:rsid w:val="00F919F7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29</cp:revision>
  <dcterms:created xsi:type="dcterms:W3CDTF">2018-09-06T15:28:00Z</dcterms:created>
  <dcterms:modified xsi:type="dcterms:W3CDTF">2018-09-17T14:59:00Z</dcterms:modified>
</cp:coreProperties>
</file>