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and Approvals Required from UIST</w:t>
      </w:r>
    </w:p>
    <w:p>
      <w:pPr>
        <w:spacing w:after="360"/>
        <w:jc w:val="left"/>
      </w:pPr>
      <w:r>
        <w:rPr>
          <w:rFonts w:ascii="Aptos Display" w:hAnsi="Aptos Display"/>
          <w:b/>
          <w:color w:val="595959"/>
          <w:sz w:val="28"/>
        </w:rPr>
        <w:t>EDEN Harvester and Digital Repository Production Readiness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cantSplit/>
          <w:tblHeader w:val="true"/>
        </w:trPr>
        <w:tc>
          <w:tcPr>
            <w:tcW w:type="dxa" w:w="2088"/>
            <w:tcMar>
              <w:top w:w="120" w:type="dxa"/>
              <w:start w:w="140" w:type="dxa"/>
              <w:bottom w:w="120" w:type="dxa"/>
              <w:end w:w="140" w:type="dxa"/>
            </w:tcMar>
            <w:vAlign w:val="center"/>
            <w:shd w:fill="17365D"/>
          </w:tcPr>
          <w:p>
            <w:pPr>
              <w:spacing w:after="0" w:line="259" w:lineRule="auto"/>
            </w:pPr>
            <w:r>
              <w:rPr>
                <w:rFonts w:ascii="Aptos" w:hAnsi="Aptos"/>
                <w:b/>
                <w:color w:val="FFFFFF"/>
                <w:sz w:val="19"/>
              </w:rPr>
              <w:t>Prepared for</w:t>
            </w:r>
          </w:p>
        </w:tc>
        <w:tc>
          <w:tcPr>
            <w:tcW w:type="dxa" w:w="7703"/>
            <w:tcMar>
              <w:top w:w="120" w:type="dxa"/>
              <w:start w:w="140" w:type="dxa"/>
              <w:bottom w:w="120" w:type="dxa"/>
              <w:end w:w="140" w:type="dxa"/>
            </w:tcMar>
            <w:vAlign w:val="center"/>
            <w:shd w:fill="17365D"/>
          </w:tcPr>
          <w:p>
            <w:pPr>
              <w:spacing w:after="0" w:line="259" w:lineRule="auto"/>
            </w:pPr>
            <w:r>
              <w:rPr>
                <w:rFonts w:ascii="Aptos" w:hAnsi="Aptos"/>
                <w:b/>
                <w:color w:val="FFFFFF"/>
                <w:sz w:val="19"/>
              </w:rPr>
              <w:t>University of Information Science and Technology St Paul the Apostle</w:t>
            </w:r>
          </w:p>
        </w:tc>
      </w:tr>
      <w:tr>
        <w:trPr>
          <w:cantSplit/>
        </w:trPr>
        <w:tc>
          <w:tcPr>
            <w:tcW w:type="dxa" w:w="2088"/>
            <w:tcMar>
              <w:top w:w="120" w:type="dxa"/>
              <w:start w:w="140" w:type="dxa"/>
              <w:bottom w:w="120" w:type="dxa"/>
              <w:end w:w="140" w:type="dxa"/>
            </w:tcMar>
            <w:vAlign w:val="center"/>
            <w:shd w:fill="FFFFFF"/>
          </w:tcPr>
          <w:p>
            <w:pPr>
              <w:spacing w:after="0" w:line="259" w:lineRule="auto"/>
            </w:pPr>
            <w:r>
              <w:rPr>
                <w:rFonts w:ascii="Aptos" w:hAnsi="Aptos"/>
                <w:b w:val="0"/>
                <w:color w:val="1F1F1F"/>
                <w:sz w:val="19"/>
              </w:rPr>
              <w:t>Purpose</w:t>
            </w:r>
          </w:p>
        </w:tc>
        <w:tc>
          <w:tcPr>
            <w:tcW w:type="dxa" w:w="7703"/>
            <w:tcMar>
              <w:top w:w="120" w:type="dxa"/>
              <w:start w:w="140" w:type="dxa"/>
              <w:bottom w:w="120" w:type="dxa"/>
              <w:end w:w="140" w:type="dxa"/>
            </w:tcMar>
            <w:vAlign w:val="center"/>
            <w:shd w:fill="FFFFFF"/>
          </w:tcPr>
          <w:p>
            <w:pPr>
              <w:spacing w:after="0" w:line="259" w:lineRule="auto"/>
            </w:pPr>
            <w:r>
              <w:rPr>
                <w:rFonts w:ascii="Aptos" w:hAnsi="Aptos"/>
                <w:b w:val="0"/>
                <w:color w:val="1F1F1F"/>
                <w:sz w:val="19"/>
              </w:rPr>
              <w:t>Collect the institutional decisions, evidence, accounts, and production access needed to finish the EDEN release</w:t>
            </w:r>
          </w:p>
        </w:tc>
      </w:tr>
      <w:tr>
        <w:trPr>
          <w:cantSplit/>
        </w:trPr>
        <w:tc>
          <w:tcPr>
            <w:tcW w:type="dxa" w:w="2088"/>
            <w:tcMar>
              <w:top w:w="120" w:type="dxa"/>
              <w:start w:w="140" w:type="dxa"/>
              <w:bottom w:w="120" w:type="dxa"/>
              <w:end w:w="140" w:type="dxa"/>
            </w:tcMar>
            <w:vAlign w:val="center"/>
            <w:shd w:fill="EAF1F8"/>
          </w:tcPr>
          <w:p>
            <w:pPr>
              <w:spacing w:after="0" w:line="259" w:lineRule="auto"/>
            </w:pPr>
            <w:r>
              <w:rPr>
                <w:rFonts w:ascii="Aptos" w:hAnsi="Aptos"/>
                <w:b w:val="0"/>
                <w:color w:val="1F1F1F"/>
                <w:sz w:val="19"/>
              </w:rPr>
              <w:t>Technical status</w:t>
            </w:r>
          </w:p>
        </w:tc>
        <w:tc>
          <w:tcPr>
            <w:tcW w:type="dxa" w:w="7703"/>
            <w:tcMar>
              <w:top w:w="120" w:type="dxa"/>
              <w:start w:w="140" w:type="dxa"/>
              <w:bottom w:w="120" w:type="dxa"/>
              <w:end w:w="140" w:type="dxa"/>
            </w:tcMar>
            <w:vAlign w:val="center"/>
            <w:shd w:fill="EAF1F8"/>
          </w:tcPr>
          <w:p>
            <w:pPr>
              <w:spacing w:after="0" w:line="259" w:lineRule="auto"/>
            </w:pPr>
            <w:r>
              <w:rPr>
                <w:rFonts w:ascii="Aptos" w:hAnsi="Aptos"/>
                <w:b w:val="0"/>
                <w:color w:val="1F1F1F"/>
                <w:sz w:val="19"/>
              </w:rPr>
              <w:t>Local implementation and testing are complete; production and institutional actions remain</w:t>
            </w:r>
          </w:p>
        </w:tc>
      </w:tr>
    </w:tbl>
    <w:p>
      <w:pPr>
        <w:pStyle w:val="Heading1"/>
      </w:pPr>
      <w:r>
        <w:t>Purpose of this request</w:t>
      </w:r>
    </w:p>
    <w:p>
      <w:r>
        <w:rPr>
          <w:b/>
        </w:rPr>
        <w:t xml:space="preserve">Please ask UIST to confirm the decisions and provide the information listed in this document. </w:t>
      </w:r>
      <w:r>
        <w:t>The repository changes already pass the local EDEN technical checks. They cannot be completed on the public service until UIST approves the institutional facts, policies, identifier strategy, registry ownership, and production deployment arrangements.</w:t>
      </w:r>
    </w:p>
    <w:p>
      <w:pPr>
        <w:pStyle w:val="Heading1"/>
      </w:pPr>
      <w:r>
        <w:t>What the university needs to do first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blHeader w:val="true"/>
        </w:trPr>
        <w:tc>
          <w:tcPr>
            <w:tcW w:type="dxa" w:w="792"/>
            <w:tcMar>
              <w:top w:w="120" w:type="dxa"/>
              <w:start w:w="140" w:type="dxa"/>
              <w:bottom w:w="120" w:type="dxa"/>
              <w:end w:w="140" w:type="dxa"/>
            </w:tcMar>
            <w:vAlign w:val="center"/>
            <w:shd w:fill="17365D"/>
          </w:tcPr>
          <w:p>
            <w:pPr>
              <w:spacing w:after="0" w:line="259" w:lineRule="auto"/>
            </w:pPr>
            <w:r>
              <w:rPr>
                <w:rFonts w:ascii="Aptos" w:hAnsi="Aptos"/>
                <w:b/>
                <w:color w:val="FFFFFF"/>
                <w:sz w:val="18"/>
              </w:rPr>
              <w:t>Order</w:t>
            </w:r>
          </w:p>
        </w:tc>
        <w:tc>
          <w:tcPr>
            <w:tcW w:type="dxa" w:w="5976"/>
            <w:tcMar>
              <w:top w:w="120" w:type="dxa"/>
              <w:start w:w="140" w:type="dxa"/>
              <w:bottom w:w="120" w:type="dxa"/>
              <w:end w:w="140" w:type="dxa"/>
            </w:tcMar>
            <w:vAlign w:val="center"/>
            <w:shd w:fill="17365D"/>
          </w:tcPr>
          <w:p>
            <w:pPr>
              <w:spacing w:after="0" w:line="259" w:lineRule="auto"/>
            </w:pPr>
            <w:r>
              <w:rPr>
                <w:rFonts w:ascii="Aptos" w:hAnsi="Aptos"/>
                <w:b/>
                <w:color w:val="FFFFFF"/>
                <w:sz w:val="18"/>
              </w:rPr>
              <w:t>Required action</w:t>
            </w:r>
          </w:p>
        </w:tc>
        <w:tc>
          <w:tcPr>
            <w:tcW w:type="dxa" w:w="3024"/>
            <w:tcMar>
              <w:top w:w="120" w:type="dxa"/>
              <w:start w:w="140" w:type="dxa"/>
              <w:bottom w:w="120" w:type="dxa"/>
              <w:end w:w="140" w:type="dxa"/>
            </w:tcMar>
            <w:vAlign w:val="center"/>
            <w:shd w:fill="17365D"/>
          </w:tcPr>
          <w:p>
            <w:pPr>
              <w:spacing w:after="0" w:line="259" w:lineRule="auto"/>
            </w:pPr>
            <w:r>
              <w:rPr>
                <w:rFonts w:ascii="Aptos" w:hAnsi="Aptos"/>
                <w:b/>
                <w:color w:val="FFFFFF"/>
                <w:sz w:val="18"/>
              </w:rPr>
              <w:t>What to return</w:t>
            </w:r>
          </w:p>
        </w:tc>
      </w:tr>
      <w:tr>
        <w:trPr>
          <w:cantSplit/>
        </w:trPr>
        <w:tc>
          <w:tcPr>
            <w:tcW w:type="dxa" w:w="792"/>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1</w:t>
            </w:r>
          </w:p>
        </w:tc>
        <w:tc>
          <w:tcPr>
            <w:tcW w:type="dxa" w:w="5976"/>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Name one institutional decision owner and one technical production owner.</w:t>
            </w:r>
          </w:p>
        </w:tc>
        <w:tc>
          <w:tcPr>
            <w:tcW w:type="dxa" w:w="3024"/>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Names, roles, and maintained email addresses</w:t>
            </w:r>
          </w:p>
        </w:tc>
      </w:tr>
      <w:tr>
        <w:trPr>
          <w:cantSplit/>
        </w:trPr>
        <w:tc>
          <w:tcPr>
            <w:tcW w:type="dxa" w:w="792"/>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2</w:t>
            </w:r>
          </w:p>
        </w:tc>
        <w:tc>
          <w:tcPr>
            <w:tcW w:type="dxa" w:w="5976"/>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Approve the public repository identity, description, address, contact, languages, research areas, and supported content types.</w:t>
            </w:r>
          </w:p>
        </w:tc>
        <w:tc>
          <w:tcPr>
            <w:tcW w:type="dxa" w:w="3024"/>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Exact approved wording and values</w:t>
            </w:r>
          </w:p>
        </w:tc>
      </w:tr>
      <w:tr>
        <w:trPr>
          <w:cantSplit/>
        </w:trPr>
        <w:tc>
          <w:tcPr>
            <w:tcW w:type="dxa" w:w="792"/>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3</w:t>
            </w:r>
          </w:p>
        </w:tc>
        <w:tc>
          <w:tcPr>
            <w:tcW w:type="dxa" w:w="5976"/>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Confirm an existing UIST Handle prefix or authorize registration of a new prefix, and clarify DOI support.</w:t>
            </w:r>
          </w:p>
        </w:tc>
        <w:tc>
          <w:tcPr>
            <w:tcW w:type="dxa" w:w="3024"/>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PID decision and responsible owner</w:t>
            </w:r>
          </w:p>
        </w:tc>
      </w:tr>
      <w:tr>
        <w:trPr>
          <w:cantSplit/>
        </w:trPr>
        <w:tc>
          <w:tcPr>
            <w:tcW w:type="dxa" w:w="792"/>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4</w:t>
            </w:r>
          </w:p>
        </w:tc>
        <w:tc>
          <w:tcPr>
            <w:tcW w:type="dxa" w:w="5976"/>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Approve the required repository policies and stable public URLs.</w:t>
            </w:r>
          </w:p>
        </w:tc>
        <w:tc>
          <w:tcPr>
            <w:tcW w:type="dxa" w:w="3024"/>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Approved text, policy owner, and publication URLs</w:t>
            </w:r>
          </w:p>
        </w:tc>
      </w:tr>
      <w:tr>
        <w:trPr>
          <w:cantSplit/>
        </w:trPr>
        <w:tc>
          <w:tcPr>
            <w:tcW w:type="dxa" w:w="792"/>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5</w:t>
            </w:r>
          </w:p>
        </w:tc>
        <w:tc>
          <w:tcPr>
            <w:tcW w:type="dxa" w:w="5976"/>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Create institutionally controlled re3data and FAIRsharing accounts and authorize submissions.</w:t>
            </w:r>
          </w:p>
        </w:tc>
        <w:tc>
          <w:tcPr>
            <w:tcW w:type="dxa" w:w="3024"/>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Account owner and authorized submitter</w:t>
            </w:r>
          </w:p>
        </w:tc>
      </w:tr>
      <w:tr>
        <w:trPr>
          <w:cantSplit/>
        </w:trPr>
        <w:tc>
          <w:tcPr>
            <w:tcW w:type="dxa" w:w="792"/>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6</w:t>
            </w:r>
          </w:p>
        </w:tc>
        <w:tc>
          <w:tcPr>
            <w:tcW w:type="dxa" w:w="5976"/>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Authorize production deployment and provide the required hosting coordination.</w:t>
            </w:r>
          </w:p>
        </w:tc>
        <w:tc>
          <w:tcPr>
            <w:tcW w:type="dxa" w:w="3024"/>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Release path, window, backup, rollback, and access arrangements</w:t>
            </w:r>
          </w:p>
        </w:tc>
      </w:tr>
    </w:tbl>
    <w:p>
      <w:pPr>
        <w:spacing w:after="0"/>
      </w:pPr>
    </w:p>
    <w:p>
      <w:pPr>
        <w:pStyle w:val="Heading2"/>
      </w:pPr>
      <w:r>
        <w:t>Response handling</w:t>
      </w:r>
    </w:p>
    <w:p>
      <w:pPr>
        <w:pStyle w:val="ListBullet"/>
        <w:spacing w:after="60"/>
      </w:pPr>
      <w:r>
        <w:t>Return exact wording for anything that will be published.</w:t>
      </w:r>
    </w:p>
    <w:p>
      <w:pPr>
        <w:pStyle w:val="ListBullet"/>
        <w:spacing w:after="60"/>
      </w:pPr>
      <w:r>
        <w:t>Mark unknown or undecided items as unknown. Do not guess.</w:t>
      </w:r>
    </w:p>
    <w:p>
      <w:pPr>
        <w:pStyle w:val="ListBullet"/>
        <w:spacing w:after="60"/>
      </w:pPr>
      <w:r>
        <w:t>Identify the approver, approval date, source, and systems where each value may appear.</w:t>
      </w:r>
    </w:p>
    <w:p>
      <w:pPr>
        <w:pStyle w:val="ListBullet"/>
        <w:spacing w:after="60"/>
      </w:pPr>
      <w:r>
        <w:t>Do not place passwords, API keys, Handle credentials, or recovery codes in this document or email thread.</w:t>
      </w:r>
    </w:p>
    <w:p>
      <w:pPr>
        <w:pStyle w:val="Heading1"/>
      </w:pPr>
      <w:r>
        <w:t>Repository identity and public information</w:t>
      </w:r>
    </w:p>
    <w:p>
      <w:r>
        <w:t>Please confirm the repository facts below. Candidate values are provided only to make review easier; UIST should correct them where necessary.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blHeader w:val="true"/>
        </w:trPr>
        <w:tc>
          <w:tcPr>
            <w:tcW w:type="dxa" w:w="2088"/>
            <w:tcMar>
              <w:top w:w="120" w:type="dxa"/>
              <w:start w:w="140" w:type="dxa"/>
              <w:bottom w:w="120" w:type="dxa"/>
              <w:end w:w="140" w:type="dxa"/>
            </w:tcMar>
            <w:vAlign w:val="center"/>
            <w:shd w:fill="17365D"/>
          </w:tcPr>
          <w:p>
            <w:pPr>
              <w:spacing w:after="0" w:line="259" w:lineRule="auto"/>
            </w:pPr>
            <w:r>
              <w:rPr>
                <w:rFonts w:ascii="Aptos" w:hAnsi="Aptos"/>
                <w:b/>
                <w:color w:val="FFFFFF"/>
                <w:sz w:val="18"/>
              </w:rPr>
              <w:t>Topic</w:t>
            </w:r>
          </w:p>
        </w:tc>
        <w:tc>
          <w:tcPr>
            <w:tcW w:type="dxa" w:w="4680"/>
            <w:tcMar>
              <w:top w:w="120" w:type="dxa"/>
              <w:start w:w="140" w:type="dxa"/>
              <w:bottom w:w="120" w:type="dxa"/>
              <w:end w:w="140" w:type="dxa"/>
            </w:tcMar>
            <w:vAlign w:val="center"/>
            <w:shd w:fill="17365D"/>
          </w:tcPr>
          <w:p>
            <w:pPr>
              <w:spacing w:after="0" w:line="259" w:lineRule="auto"/>
            </w:pPr>
            <w:r>
              <w:rPr>
                <w:rFonts w:ascii="Aptos" w:hAnsi="Aptos"/>
                <w:b/>
                <w:color w:val="FFFFFF"/>
                <w:sz w:val="18"/>
              </w:rPr>
              <w:t>Question for UIST</w:t>
            </w:r>
          </w:p>
        </w:tc>
        <w:tc>
          <w:tcPr>
            <w:tcW w:type="dxa" w:w="3024"/>
            <w:tcMar>
              <w:top w:w="120" w:type="dxa"/>
              <w:start w:w="140" w:type="dxa"/>
              <w:bottom w:w="120" w:type="dxa"/>
              <w:end w:w="140" w:type="dxa"/>
            </w:tcMar>
            <w:vAlign w:val="center"/>
            <w:shd w:fill="17365D"/>
          </w:tcPr>
          <w:p>
            <w:pPr>
              <w:spacing w:after="0" w:line="259" w:lineRule="auto"/>
            </w:pPr>
            <w:r>
              <w:rPr>
                <w:rFonts w:ascii="Aptos" w:hAnsi="Aptos"/>
                <w:b/>
                <w:color w:val="FFFFFF"/>
                <w:sz w:val="18"/>
              </w:rPr>
              <w:t>Response or evidence</w:t>
            </w:r>
          </w:p>
        </w:tc>
      </w:tr>
      <w:tr>
        <w:trPr>
          <w:cantSplit/>
        </w:trPr>
        <w:tc>
          <w:tcPr>
            <w:tcW w:type="dxa" w:w="2088"/>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Official repository name</w:t>
            </w:r>
          </w:p>
        </w:tc>
        <w:tc>
          <w:tcPr>
            <w:tcW w:type="dxa" w:w="468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Approve the exact public name used on the website, in JSON LD, OAI PMH, re3data, and FAIRsharing.</w:t>
            </w:r>
          </w:p>
        </w:tc>
        <w:tc>
          <w:tcPr>
            <w:tcW w:type="dxa" w:w="3024"/>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Candidate: UIST Digital Repository</w:t>
            </w:r>
          </w:p>
        </w:tc>
      </w:tr>
      <w:tr>
        <w:trPr>
          <w:cantSplit/>
        </w:trPr>
        <w:tc>
          <w:tcPr>
            <w:tcW w:type="dxa" w:w="2088"/>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Institution name</w:t>
            </w:r>
          </w:p>
        </w:tc>
        <w:tc>
          <w:tcPr>
            <w:tcW w:type="dxa" w:w="468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Confirm the exact English public name of the responsible institution.</w:t>
            </w:r>
          </w:p>
        </w:tc>
        <w:tc>
          <w:tcPr>
            <w:tcW w:type="dxa" w:w="3024"/>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Candidate: University of Information Science and Technology St Paul the Apostle</w:t>
            </w:r>
          </w:p>
        </w:tc>
      </w:tr>
      <w:tr>
        <w:trPr>
          <w:cantSplit/>
        </w:trPr>
        <w:tc>
          <w:tcPr>
            <w:tcW w:type="dxa" w:w="2088"/>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Repository description</w:t>
            </w:r>
          </w:p>
        </w:tc>
        <w:tc>
          <w:tcPr>
            <w:tcW w:type="dxa" w:w="468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Approve a concise description of the repository purpose and content.</w:t>
            </w:r>
          </w:p>
        </w:tc>
        <w:tc>
          <w:tcPr>
            <w:tcW w:type="dxa" w:w="3024"/>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Candidate: Open access scholarly works, publications, theses, conference papers, and research outputs from UIST in Ohrid.</w:t>
            </w:r>
          </w:p>
        </w:tc>
      </w:tr>
      <w:tr>
        <w:trPr>
          <w:cantSplit/>
        </w:trPr>
        <w:tc>
          <w:tcPr>
            <w:tcW w:type="dxa" w:w="2088"/>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Country</w:t>
            </w:r>
          </w:p>
        </w:tc>
        <w:tc>
          <w:tcPr>
            <w:tcW w:type="dxa" w:w="468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Confirm the registry country and machine readable country code.</w:t>
            </w:r>
          </w:p>
        </w:tc>
        <w:tc>
          <w:tcPr>
            <w:tcW w:type="dxa" w:w="3024"/>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Candidate: North Macedonia and MK</w:t>
            </w:r>
          </w:p>
        </w:tc>
      </w:tr>
      <w:tr>
        <w:trPr>
          <w:cantSplit/>
        </w:trPr>
        <w:tc>
          <w:tcPr>
            <w:tcW w:type="dxa" w:w="2088"/>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Postal address</w:t>
            </w:r>
          </w:p>
        </w:tc>
        <w:tc>
          <w:tcPr>
            <w:tcW w:type="dxa" w:w="468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Confirm the official public address and preferred English formatting.</w:t>
            </w:r>
          </w:p>
        </w:tc>
        <w:tc>
          <w:tcPr>
            <w:tcW w:type="dxa" w:w="3024"/>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Candidate: Partizanska bb, 6000 Ohrid, North Macedonia</w:t>
            </w:r>
          </w:p>
        </w:tc>
      </w:tr>
      <w:tr>
        <w:trPr>
          <w:cantSplit/>
        </w:trPr>
        <w:tc>
          <w:tcPr>
            <w:tcW w:type="dxa" w:w="2088"/>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Public contact</w:t>
            </w:r>
          </w:p>
        </w:tc>
        <w:tc>
          <w:tcPr>
            <w:tcW w:type="dxa" w:w="468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Nominate a maintained repository role mailbox and, if desired, a telephone number.</w:t>
            </w:r>
          </w:p>
        </w:tc>
        <w:tc>
          <w:tcPr>
            <w:tcW w:type="dxa" w:w="3024"/>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Current public university details: contact@uist.edu.mk and +389 46 511 000; approval required</w:t>
            </w:r>
          </w:p>
        </w:tc>
      </w:tr>
      <w:tr>
        <w:trPr>
          <w:cantSplit/>
        </w:trPr>
        <w:tc>
          <w:tcPr>
            <w:tcW w:type="dxa" w:w="2088"/>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Languages</w:t>
            </w:r>
          </w:p>
        </w:tc>
        <w:tc>
          <w:tcPr>
            <w:tcW w:type="dxa" w:w="468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Confirm the repository interface language and languages expected in deposited records.</w:t>
            </w:r>
          </w:p>
        </w:tc>
        <w:tc>
          <w:tcPr>
            <w:tcW w:type="dxa" w:w="3024"/>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Candidate: English interface; English and Macedonian item content</w:t>
            </w:r>
          </w:p>
        </w:tc>
      </w:tr>
      <w:tr>
        <w:trPr>
          <w:cantSplit/>
        </w:trPr>
        <w:tc>
          <w:tcPr>
            <w:tcW w:type="dxa" w:w="2088"/>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Research areas</w:t>
            </w:r>
          </w:p>
        </w:tc>
        <w:tc>
          <w:tcPr>
            <w:tcW w:type="dxa" w:w="468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Approve authoritative subject classifications and preferred vocabulary terms.</w:t>
            </w:r>
          </w:p>
        </w:tc>
        <w:tc>
          <w:tcPr>
            <w:tcW w:type="dxa" w:w="3024"/>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Candidates: Computer Science, Information Science, Engineering, Technologies</w:t>
            </w:r>
          </w:p>
        </w:tc>
      </w:tr>
      <w:tr>
        <w:trPr>
          <w:cantSplit/>
        </w:trPr>
        <w:tc>
          <w:tcPr>
            <w:tcW w:type="dxa" w:w="2088"/>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Content types</w:t>
            </w:r>
          </w:p>
        </w:tc>
        <w:tc>
          <w:tcPr>
            <w:tcW w:type="dxa" w:w="468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Approve the deposit types UIST officially supports.</w:t>
            </w:r>
          </w:p>
        </w:tc>
        <w:tc>
          <w:tcPr>
            <w:tcW w:type="dxa" w:w="3024"/>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Current technical coverage: datasets, articles, books, chapters, reports, software, theses, and other works</w:t>
            </w:r>
          </w:p>
        </w:tc>
      </w:tr>
    </w:tbl>
    <w:p>
      <w:pPr>
        <w:spacing w:after="0"/>
      </w:pPr>
    </w:p>
    <w:p>
      <w:pPr>
        <w:pStyle w:val="Heading2"/>
      </w:pPr>
      <w:r>
        <w:t>Institutional ownership</w:t>
      </w:r>
    </w:p>
    <w:p>
      <w:pPr>
        <w:spacing w:after="80"/>
        <w:ind w:left="230" w:hanging="230"/>
      </w:pPr>
      <w:r>
        <w:t>[ ] Name the person or office authorized to approve public repository facts.</w:t>
      </w:r>
    </w:p>
    <w:p>
      <w:pPr>
        <w:spacing w:after="80"/>
        <w:ind w:left="230" w:hanging="230"/>
      </w:pPr>
      <w:r>
        <w:t>[ ] Name the office responsible for keeping contact details and descriptions current.</w:t>
      </w:r>
    </w:p>
    <w:p>
      <w:pPr>
        <w:spacing w:after="80"/>
        <w:ind w:left="230" w:hanging="230"/>
      </w:pPr>
      <w:r>
        <w:t>[ ] Confirm whether the library, IT department, research office, or another unit owns the repository service.</w:t>
      </w:r>
    </w:p>
    <w:p>
      <w:pPr>
        <w:pStyle w:val="Heading1"/>
        <w:pageBreakBefore/>
      </w:pPr>
      <w:r>
        <w:t>Persistent identifiers</w:t>
      </w:r>
    </w:p>
    <w:p>
      <w:pPr>
        <w:pStyle w:val="Heading2"/>
      </w:pPr>
      <w:r>
        <w:t>Handle prefix</w:t>
      </w:r>
    </w:p>
    <w:p>
      <w:r>
        <w:rPr>
          <w:b/>
        </w:rPr>
        <w:t xml:space="preserve">The current prefix 123456789 is a common DSpace example value. </w:t>
      </w:r>
      <w:r>
        <w:t>A local URL such as /handle/123456789/261 is not proof of a globally registered UIST Handle. UIST must not claim Handle PID support until it controls a registered prefix and the identifiers resolve through hdl.handle.net.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blHeader w:val="true"/>
        </w:trPr>
        <w:tc>
          <w:tcPr>
            <w:tcW w:type="dxa" w:w="1800"/>
            <w:tcMar>
              <w:top w:w="120" w:type="dxa"/>
              <w:start w:w="140" w:type="dxa"/>
              <w:bottom w:w="120" w:type="dxa"/>
              <w:end w:w="140" w:type="dxa"/>
            </w:tcMar>
            <w:vAlign w:val="center"/>
            <w:shd w:fill="17365D"/>
          </w:tcPr>
          <w:p>
            <w:pPr>
              <w:spacing w:after="0" w:line="259" w:lineRule="auto"/>
            </w:pPr>
            <w:r>
              <w:rPr>
                <w:rFonts w:ascii="Aptos" w:hAnsi="Aptos"/>
                <w:b/>
                <w:color w:val="FFFFFF"/>
                <w:sz w:val="18"/>
              </w:rPr>
              <w:t>Topic</w:t>
            </w:r>
          </w:p>
        </w:tc>
        <w:tc>
          <w:tcPr>
            <w:tcW w:type="dxa" w:w="5040"/>
            <w:tcMar>
              <w:top w:w="120" w:type="dxa"/>
              <w:start w:w="140" w:type="dxa"/>
              <w:bottom w:w="120" w:type="dxa"/>
              <w:end w:w="140" w:type="dxa"/>
            </w:tcMar>
            <w:vAlign w:val="center"/>
            <w:shd w:fill="17365D"/>
          </w:tcPr>
          <w:p>
            <w:pPr>
              <w:spacing w:after="0" w:line="259" w:lineRule="auto"/>
            </w:pPr>
            <w:r>
              <w:rPr>
                <w:rFonts w:ascii="Aptos" w:hAnsi="Aptos"/>
                <w:b/>
                <w:color w:val="FFFFFF"/>
                <w:sz w:val="18"/>
              </w:rPr>
              <w:t>Question for UIST</w:t>
            </w:r>
          </w:p>
        </w:tc>
        <w:tc>
          <w:tcPr>
            <w:tcW w:type="dxa" w:w="2951"/>
            <w:tcMar>
              <w:top w:w="120" w:type="dxa"/>
              <w:start w:w="140" w:type="dxa"/>
              <w:bottom w:w="120" w:type="dxa"/>
              <w:end w:w="140" w:type="dxa"/>
            </w:tcMar>
            <w:vAlign w:val="center"/>
            <w:shd w:fill="17365D"/>
          </w:tcPr>
          <w:p>
            <w:pPr>
              <w:spacing w:after="0" w:line="259" w:lineRule="auto"/>
            </w:pPr>
            <w:r>
              <w:rPr>
                <w:rFonts w:ascii="Aptos" w:hAnsi="Aptos"/>
                <w:b/>
                <w:color w:val="FFFFFF"/>
                <w:sz w:val="18"/>
              </w:rPr>
              <w:t>Response or evidence</w:t>
            </w:r>
          </w:p>
        </w:tc>
      </w:tr>
      <w:tr>
        <w:trPr>
          <w:cantSplit/>
        </w:trPr>
        <w:tc>
          <w:tcPr>
            <w:tcW w:type="dxa" w:w="180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Existing prefix</w:t>
            </w:r>
          </w:p>
        </w:tc>
        <w:tc>
          <w:tcPr>
            <w:tcW w:type="dxa" w:w="504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Does UIST already own or have authority to use a registered Handle prefix?</w:t>
            </w:r>
          </w:p>
        </w:tc>
        <w:tc>
          <w:tcPr>
            <w:tcW w:type="dxa" w:w="2951"/>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If yes: prefix, provider, contract owner, service administrator, and evidence of authorization</w:t>
            </w:r>
          </w:p>
        </w:tc>
      </w:tr>
      <w:tr>
        <w:trPr>
          <w:cantSplit/>
        </w:trPr>
        <w:tc>
          <w:tcPr>
            <w:tcW w:type="dxa" w:w="180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New registration</w:t>
            </w:r>
          </w:p>
        </w:tc>
        <w:tc>
          <w:tcPr>
            <w:tcW w:type="dxa" w:w="504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If no prefix exists, will UIST authorize registration through Handle.Net or an approved provider?</w:t>
            </w:r>
          </w:p>
        </w:tc>
        <w:tc>
          <w:tcPr>
            <w:tcW w:type="dxa" w:w="2951"/>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Decision, budget owner, contracting owner, and target date</w:t>
            </w:r>
          </w:p>
        </w:tc>
      </w:tr>
      <w:tr>
        <w:trPr>
          <w:cantSplit/>
        </w:trPr>
        <w:tc>
          <w:tcPr>
            <w:tcW w:type="dxa" w:w="180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Suffix strategy</w:t>
            </w:r>
          </w:p>
        </w:tc>
        <w:tc>
          <w:tcPr>
            <w:tcW w:type="dxa" w:w="504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How should suffixes be assigned to new items, collections, and communities?</w:t>
            </w:r>
          </w:p>
        </w:tc>
        <w:tc>
          <w:tcPr>
            <w:tcW w:type="dxa" w:w="2951"/>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Approved rule and scope</w:t>
            </w:r>
          </w:p>
        </w:tc>
      </w:tr>
      <w:tr>
        <w:trPr>
          <w:cantSplit/>
        </w:trPr>
        <w:tc>
          <w:tcPr>
            <w:tcW w:type="dxa" w:w="180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Legacy records</w:t>
            </w:r>
          </w:p>
        </w:tc>
        <w:tc>
          <w:tcPr>
            <w:tcW w:type="dxa" w:w="504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Should existing 123456789 identifiers be migrated, aliased, or retained only as legacy local routes?</w:t>
            </w:r>
          </w:p>
        </w:tc>
        <w:tc>
          <w:tcPr>
            <w:tcW w:type="dxa" w:w="2951"/>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Migration choice and redirect requirement</w:t>
            </w:r>
          </w:p>
        </w:tc>
      </w:tr>
      <w:tr>
        <w:trPr>
          <w:cantSplit/>
        </w:trPr>
        <w:tc>
          <w:tcPr>
            <w:tcW w:type="dxa" w:w="180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Operations</w:t>
            </w:r>
          </w:p>
        </w:tc>
        <w:tc>
          <w:tcPr>
            <w:tcW w:type="dxa" w:w="504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Who will operate, monitor, renew, and back up the Handle service and credentials?</w:t>
            </w:r>
          </w:p>
        </w:tc>
        <w:tc>
          <w:tcPr>
            <w:tcW w:type="dxa" w:w="2951"/>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Named office and role mailbox</w:t>
            </w:r>
          </w:p>
        </w:tc>
      </w:tr>
      <w:tr>
        <w:trPr>
          <w:cantSplit/>
        </w:trPr>
        <w:tc>
          <w:tcPr>
            <w:tcW w:type="dxa" w:w="180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Lifecycle</w:t>
            </w:r>
          </w:p>
        </w:tc>
        <w:tc>
          <w:tcPr>
            <w:tcW w:type="dxa" w:w="504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How should withdrawals, replacements, ownership changes, and destination URL changes be handled?</w:t>
            </w:r>
          </w:p>
        </w:tc>
        <w:tc>
          <w:tcPr>
            <w:tcW w:type="dxa" w:w="2951"/>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Approved PID policy or accountable policy owner</w:t>
            </w:r>
          </w:p>
        </w:tc>
      </w:tr>
    </w:tbl>
    <w:p>
      <w:pPr>
        <w:spacing w:after="0"/>
      </w:pPr>
    </w:p>
    <w:p>
      <w:pPr>
        <w:spacing w:before="80"/>
      </w:pPr>
      <w:r>
        <w:rPr>
          <w:b/>
        </w:rPr>
        <w:t xml:space="preserve">Regional example: </w:t>
      </w:r>
      <w:r>
        <w:t xml:space="preserve">UKIM uses the registered prefix 20.500.12188. Its Handle </w:t>
      </w:r>
      <w:hyperlink r:id="rId11">
        <w:r>
          <w:rPr>
            <w:color w:val="0563C1"/>
            <w:u w:val="single"/>
          </w:rPr>
          <w:t>20.500.12188/1</w:t>
        </w:r>
      </w:hyperlink>
      <w:r>
        <w:t xml:space="preserve"> resolves globally to the UKIM repository. That prefix belongs to UKIM and cannot be reused by UIST.</w:t>
      </w:r>
    </w:p>
    <w:p>
      <w:pPr>
        <w:pStyle w:val="Heading2"/>
      </w:pPr>
      <w:r>
        <w:t>DOI support</w:t>
      </w:r>
    </w:p>
    <w:p>
      <w:pPr>
        <w:spacing w:after="80"/>
        <w:ind w:left="230" w:hanging="230"/>
      </w:pPr>
      <w:r>
        <w:t>[ ] UIST registers and mints DOIs through a named DataCite or Crossref membership or consortium.</w:t>
      </w:r>
    </w:p>
    <w:p>
      <w:pPr>
        <w:spacing w:after="80"/>
        <w:ind w:left="230" w:hanging="230"/>
      </w:pPr>
      <w:r>
        <w:t>[ ] UIST only records DOIs assigned by external publishers.</w:t>
      </w:r>
    </w:p>
    <w:p>
      <w:pPr>
        <w:spacing w:after="80"/>
        <w:ind w:left="230" w:hanging="230"/>
      </w:pPr>
      <w:r>
        <w:t>[ ] UIST does not currently support DOI workflows.</w:t>
      </w:r>
    </w:p>
    <w:p>
      <w:r>
        <w:rPr>
          <w:b/>
        </w:rPr>
        <w:t xml:space="preserve">If UIST mints DOIs, provide: </w:t>
      </w:r>
      <w:r>
        <w:t>registration agency, member or consortium name, DOI prefix, accountable owner, credentials custodian, minting criteria, update process, and evidence that a sample DOI resolves.</w:t>
      </w:r>
    </w:p>
    <w:p>
      <w:pPr>
        <w:spacing w:after="40"/>
      </w:pPr>
      <w:r>
        <w:rPr>
          <w:rFonts w:ascii="Aptos" w:hAnsi="Aptos"/>
          <w:color w:val="969696"/>
          <w:sz w:val="18"/>
        </w:rPr>
        <w:t>____________________________________________________________________________________________</w:t>
      </w:r>
    </w:p>
    <w:p>
      <w:pPr>
        <w:spacing w:after="40"/>
      </w:pPr>
      <w:r>
        <w:rPr>
          <w:rFonts w:ascii="Aptos" w:hAnsi="Aptos"/>
          <w:color w:val="969696"/>
          <w:sz w:val="18"/>
        </w:rPr>
        <w:t>____________________________________________________________________________________________</w:t>
      </w:r>
    </w:p>
    <w:p>
      <w:pPr>
        <w:pStyle w:val="Heading1"/>
        <w:pageBreakBefore/>
      </w:pPr>
      <w:r>
        <w:t>Repository policies</w:t>
      </w:r>
    </w:p>
    <w:p>
      <w:r>
        <w:t>UIST must define and approve the policy content. The development team can publish the approved pages and machine readable links, but it cannot decide institutional commitments.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blHeader w:val="true"/>
        </w:trPr>
        <w:tc>
          <w:tcPr>
            <w:tcW w:type="dxa" w:w="2160"/>
            <w:tcMar>
              <w:top w:w="120" w:type="dxa"/>
              <w:start w:w="140" w:type="dxa"/>
              <w:bottom w:w="120" w:type="dxa"/>
              <w:end w:w="140" w:type="dxa"/>
            </w:tcMar>
            <w:vAlign w:val="center"/>
            <w:shd w:fill="17365D"/>
          </w:tcPr>
          <w:p>
            <w:pPr>
              <w:spacing w:after="0" w:line="259" w:lineRule="auto"/>
            </w:pPr>
            <w:r>
              <w:rPr>
                <w:rFonts w:ascii="Aptos" w:hAnsi="Aptos"/>
                <w:b/>
                <w:color w:val="FFFFFF"/>
                <w:sz w:val="17"/>
              </w:rPr>
              <w:t>Policy</w:t>
            </w:r>
          </w:p>
        </w:tc>
        <w:tc>
          <w:tcPr>
            <w:tcW w:type="dxa" w:w="5040"/>
            <w:tcMar>
              <w:top w:w="120" w:type="dxa"/>
              <w:start w:w="140" w:type="dxa"/>
              <w:bottom w:w="120" w:type="dxa"/>
              <w:end w:w="140" w:type="dxa"/>
            </w:tcMar>
            <w:vAlign w:val="center"/>
            <w:shd w:fill="17365D"/>
          </w:tcPr>
          <w:p>
            <w:pPr>
              <w:spacing w:after="0" w:line="259" w:lineRule="auto"/>
            </w:pPr>
            <w:r>
              <w:rPr>
                <w:rFonts w:ascii="Aptos" w:hAnsi="Aptos"/>
                <w:b/>
                <w:color w:val="FFFFFF"/>
                <w:sz w:val="17"/>
              </w:rPr>
              <w:t>Decisions required</w:t>
            </w:r>
          </w:p>
        </w:tc>
        <w:tc>
          <w:tcPr>
            <w:tcW w:type="dxa" w:w="2592"/>
            <w:tcMar>
              <w:top w:w="120" w:type="dxa"/>
              <w:start w:w="140" w:type="dxa"/>
              <w:bottom w:w="120" w:type="dxa"/>
              <w:end w:w="140" w:type="dxa"/>
            </w:tcMar>
            <w:vAlign w:val="center"/>
            <w:shd w:fill="17365D"/>
          </w:tcPr>
          <w:p>
            <w:pPr>
              <w:spacing w:after="0" w:line="259" w:lineRule="auto"/>
            </w:pPr>
            <w:r>
              <w:rPr>
                <w:rFonts w:ascii="Aptos" w:hAnsi="Aptos"/>
                <w:b/>
                <w:color w:val="FFFFFF"/>
                <w:sz w:val="17"/>
              </w:rPr>
              <w:t>Owner and public URL</w:t>
            </w:r>
          </w:p>
        </w:tc>
      </w:tr>
      <w:tr>
        <w:trPr>
          <w:cantSplit/>
        </w:trPr>
        <w:tc>
          <w:tcPr>
            <w:tcW w:type="dxa" w:w="2160"/>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Deposit policy</w:t>
            </w:r>
          </w:p>
        </w:tc>
        <w:tc>
          <w:tcPr>
            <w:tcW w:type="dxa" w:w="5040"/>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Who may deposit, accepted content, required files and metadata, moderation, depositor warranties, rights checks, and refusal criteria?</w:t>
            </w:r>
          </w:p>
        </w:tc>
        <w:tc>
          <w:tcPr>
            <w:tcW w:type="dxa" w:w="2592"/>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Owner:</w:t>
              <w:br/>
              <w:t>URL:</w:t>
              <w:br/>
              <w:t>Status: [ ] Approved  [ ] Draft  [ ] Not applicable</w:t>
            </w:r>
          </w:p>
        </w:tc>
      </w:tr>
      <w:tr>
        <w:trPr>
          <w:cantSplit/>
        </w:trPr>
        <w:tc>
          <w:tcPr>
            <w:tcW w:type="dxa" w:w="2160"/>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Access policy</w:t>
            </w:r>
          </w:p>
        </w:tc>
        <w:tc>
          <w:tcPr>
            <w:tcW w:type="dxa" w:w="5040"/>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What is open, what may be restricted, who authorizes restrictions, and how are embargoes handled?</w:t>
            </w:r>
          </w:p>
        </w:tc>
        <w:tc>
          <w:tcPr>
            <w:tcW w:type="dxa" w:w="2592"/>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Owner:</w:t>
              <w:br/>
              <w:t>URL:</w:t>
              <w:br/>
              <w:t>Status: [ ] Approved  [ ] Draft  [ ] Not applicable</w:t>
            </w:r>
          </w:p>
        </w:tc>
      </w:tr>
      <w:tr>
        <w:trPr>
          <w:cantSplit/>
        </w:trPr>
        <w:tc>
          <w:tcPr>
            <w:tcW w:type="dxa" w:w="2160"/>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Preservation policy</w:t>
            </w:r>
          </w:p>
        </w:tc>
        <w:tc>
          <w:tcPr>
            <w:tcW w:type="dxa" w:w="5040"/>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Supported formats, fixity and backups, migrations, retention commitments, and responsible office?</w:t>
            </w:r>
          </w:p>
        </w:tc>
        <w:tc>
          <w:tcPr>
            <w:tcW w:type="dxa" w:w="2592"/>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Owner:</w:t>
              <w:br/>
              <w:t>URL:</w:t>
              <w:br/>
              <w:t>Status: [ ] Approved  [ ] Draft  [ ] Not applicable</w:t>
            </w:r>
          </w:p>
        </w:tc>
      </w:tr>
      <w:tr>
        <w:trPr>
          <w:cantSplit/>
        </w:trPr>
        <w:tc>
          <w:tcPr>
            <w:tcW w:type="dxa" w:w="2160"/>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Curation policy</w:t>
            </w:r>
          </w:p>
        </w:tc>
        <w:tc>
          <w:tcPr>
            <w:tcW w:type="dxa" w:w="5040"/>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What review, metadata enhancement, file validation, version handling, and service level does UIST provide?</w:t>
            </w:r>
          </w:p>
        </w:tc>
        <w:tc>
          <w:tcPr>
            <w:tcW w:type="dxa" w:w="2592"/>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Owner:</w:t>
              <w:br/>
              <w:t>URL:</w:t>
              <w:br/>
              <w:t>Status: [ ] Approved  [ ] Draft  [ ] Not applicable</w:t>
            </w:r>
          </w:p>
        </w:tc>
      </w:tr>
      <w:tr>
        <w:trPr>
          <w:cantSplit/>
        </w:trPr>
        <w:tc>
          <w:tcPr>
            <w:tcW w:type="dxa" w:w="2160"/>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Metadata policy</w:t>
            </w:r>
          </w:p>
        </w:tc>
        <w:tc>
          <w:tcPr>
            <w:tcW w:type="dxa" w:w="5040"/>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What metadata is required, which vocabularies apply, and under what terms may metadata be reused?</w:t>
            </w:r>
          </w:p>
        </w:tc>
        <w:tc>
          <w:tcPr>
            <w:tcW w:type="dxa" w:w="2592"/>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Owner:</w:t>
              <w:br/>
              <w:t>URL:</w:t>
              <w:br/>
              <w:t>Status: [ ] Approved  [ ] Draft  [ ] Not applicable</w:t>
            </w:r>
          </w:p>
        </w:tc>
      </w:tr>
      <w:tr>
        <w:trPr>
          <w:cantSplit/>
        </w:trPr>
        <w:tc>
          <w:tcPr>
            <w:tcW w:type="dxa" w:w="2160"/>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Licence policy</w:t>
            </w:r>
          </w:p>
        </w:tc>
        <w:tc>
          <w:tcPr>
            <w:tcW w:type="dxa" w:w="5040"/>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Is there a repository default licence, or are licences selected and recorded per item?</w:t>
            </w:r>
          </w:p>
        </w:tc>
        <w:tc>
          <w:tcPr>
            <w:tcW w:type="dxa" w:w="2592"/>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Owner:</w:t>
              <w:br/>
              <w:t>URL:</w:t>
              <w:br/>
              <w:t>Status: [ ] Approved  [ ] Draft  [ ] Not applicable</w:t>
            </w:r>
          </w:p>
        </w:tc>
      </w:tr>
      <w:tr>
        <w:trPr>
          <w:cantSplit/>
        </w:trPr>
        <w:tc>
          <w:tcPr>
            <w:tcW w:type="dxa" w:w="2160"/>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Takedown policy</w:t>
            </w:r>
          </w:p>
        </w:tc>
        <w:tc>
          <w:tcPr>
            <w:tcW w:type="dxa" w:w="5040"/>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How are copyright or privacy complaints received, assessed, temporarily suppressed, appealed, and recorded?</w:t>
            </w:r>
          </w:p>
        </w:tc>
        <w:tc>
          <w:tcPr>
            <w:tcW w:type="dxa" w:w="2592"/>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Owner:</w:t>
              <w:br/>
              <w:t>URL:</w:t>
              <w:br/>
              <w:t>Status: [ ] Approved  [ ] Draft  [ ] Not applicable</w:t>
            </w:r>
          </w:p>
        </w:tc>
      </w:tr>
      <w:tr>
        <w:trPr>
          <w:cantSplit/>
        </w:trPr>
        <w:tc>
          <w:tcPr>
            <w:tcW w:type="dxa" w:w="2160"/>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Withdrawal and versioning</w:t>
            </w:r>
          </w:p>
        </w:tc>
        <w:tc>
          <w:tcPr>
            <w:tcW w:type="dxa" w:w="5040"/>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When may a record be corrected, replaced, versioned, or withdrawn, and what happens to its PID?</w:t>
            </w:r>
          </w:p>
        </w:tc>
        <w:tc>
          <w:tcPr>
            <w:tcW w:type="dxa" w:w="2592"/>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Owner:</w:t>
              <w:br/>
              <w:t>URL:</w:t>
              <w:br/>
              <w:t>Status: [ ] Approved  [ ] Draft  [ ] Not applicable</w:t>
            </w:r>
          </w:p>
        </w:tc>
      </w:tr>
      <w:tr>
        <w:trPr>
          <w:cantSplit/>
        </w:trPr>
        <w:tc>
          <w:tcPr>
            <w:tcW w:type="dxa" w:w="2160"/>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Privacy policy</w:t>
            </w:r>
          </w:p>
        </w:tc>
        <w:tc>
          <w:tcPr>
            <w:tcW w:type="dxa" w:w="5040"/>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What personal data and logs are processed, on what basis, for how long, and through which contact?</w:t>
            </w:r>
          </w:p>
        </w:tc>
        <w:tc>
          <w:tcPr>
            <w:tcW w:type="dxa" w:w="2592"/>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Owner:</w:t>
              <w:br/>
              <w:t>URL:</w:t>
              <w:br/>
              <w:t>Status: [ ] Approved  [ ] Draft  [ ] Not applicable</w:t>
            </w:r>
          </w:p>
        </w:tc>
      </w:tr>
      <w:tr>
        <w:trPr>
          <w:cantSplit/>
        </w:trPr>
        <w:tc>
          <w:tcPr>
            <w:tcW w:type="dxa" w:w="2160"/>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Terms of use</w:t>
            </w:r>
          </w:p>
        </w:tc>
        <w:tc>
          <w:tcPr>
            <w:tcW w:type="dxa" w:w="5040"/>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What site and API uses are permitted, and does the existing End User Agreement apply to this repository?</w:t>
            </w:r>
          </w:p>
        </w:tc>
        <w:tc>
          <w:tcPr>
            <w:tcW w:type="dxa" w:w="2592"/>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Owner:</w:t>
              <w:br/>
              <w:t>URL:</w:t>
              <w:br/>
              <w:t>Status: [ ] Approved  [ ] Draft  [ ] Not applicable</w:t>
            </w:r>
          </w:p>
        </w:tc>
      </w:tr>
      <w:tr>
        <w:trPr>
          <w:cantSplit/>
        </w:trPr>
        <w:tc>
          <w:tcPr>
            <w:tcW w:type="dxa" w:w="2160"/>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PID policy</w:t>
            </w:r>
          </w:p>
        </w:tc>
        <w:tc>
          <w:tcPr>
            <w:tcW w:type="dxa" w:w="5040"/>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What persistence commitment does UIST make for Handles and any DOI workflow?</w:t>
            </w:r>
          </w:p>
        </w:tc>
        <w:tc>
          <w:tcPr>
            <w:tcW w:type="dxa" w:w="2592"/>
            <w:tcMar>
              <w:top w:w="120" w:type="dxa"/>
              <w:start w:w="140" w:type="dxa"/>
              <w:bottom w:w="120" w:type="dxa"/>
              <w:end w:w="140" w:type="dxa"/>
            </w:tcMar>
            <w:vAlign w:val="center"/>
            <w:shd w:fill="FFFFFF"/>
          </w:tcPr>
          <w:p>
            <w:pPr>
              <w:spacing w:after="0" w:line="259" w:lineRule="auto"/>
            </w:pPr>
            <w:r>
              <w:rPr>
                <w:rFonts w:ascii="Aptos" w:hAnsi="Aptos"/>
                <w:b w:val="0"/>
                <w:color w:val="1F1F1F"/>
                <w:sz w:val="17"/>
              </w:rPr>
              <w:t>Owner:</w:t>
              <w:br/>
              <w:t>URL:</w:t>
              <w:br/>
              <w:t>Status: [ ] Approved  [ ] Draft  [ ] Not applicable</w:t>
            </w:r>
          </w:p>
        </w:tc>
      </w:tr>
      <w:tr>
        <w:trPr>
          <w:cantSplit/>
        </w:trPr>
        <w:tc>
          <w:tcPr>
            <w:tcW w:type="dxa" w:w="2160"/>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Certification</w:t>
            </w:r>
          </w:p>
        </w:tc>
        <w:tc>
          <w:tcPr>
            <w:tcW w:type="dxa" w:w="5040"/>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Does UIST hold or intend to pursue a repository certificate such as CoreTrustSeal?</w:t>
            </w:r>
          </w:p>
        </w:tc>
        <w:tc>
          <w:tcPr>
            <w:tcW w:type="dxa" w:w="2592"/>
            <w:tcMar>
              <w:top w:w="120" w:type="dxa"/>
              <w:start w:w="140" w:type="dxa"/>
              <w:bottom w:w="120" w:type="dxa"/>
              <w:end w:w="140" w:type="dxa"/>
            </w:tcMar>
            <w:vAlign w:val="center"/>
            <w:shd w:fill="EAF1F8"/>
          </w:tcPr>
          <w:p>
            <w:pPr>
              <w:spacing w:after="0" w:line="259" w:lineRule="auto"/>
            </w:pPr>
            <w:r>
              <w:rPr>
                <w:rFonts w:ascii="Aptos" w:hAnsi="Aptos"/>
                <w:b w:val="0"/>
                <w:color w:val="1F1F1F"/>
                <w:sz w:val="17"/>
              </w:rPr>
              <w:t>Owner:</w:t>
              <w:br/>
              <w:t>URL:</w:t>
              <w:br/>
              <w:t>Status: [ ] Approved  [ ] Draft  [ ] Not applicable</w:t>
            </w:r>
          </w:p>
        </w:tc>
      </w:tr>
    </w:tbl>
    <w:p>
      <w:pPr>
        <w:pStyle w:val="Heading2"/>
      </w:pPr>
      <w:r>
        <w:t>Requirements for each published policy</w:t>
      </w:r>
    </w:p>
    <w:p>
      <w:pPr>
        <w:pStyle w:val="ListBullet"/>
        <w:spacing w:after="60"/>
      </w:pPr>
      <w:r>
        <w:t>Stable public HTTPS URL under a UIST controlled domain.</w:t>
      </w:r>
    </w:p>
    <w:p>
      <w:pPr>
        <w:pStyle w:val="ListBullet"/>
        <w:spacing w:after="60"/>
      </w:pPr>
      <w:r>
        <w:t>Policy title, owner, approver, approval date, effective date, review date, and version history.</w:t>
      </w:r>
    </w:p>
    <w:p>
      <w:pPr>
        <w:pStyle w:val="ListBullet"/>
        <w:spacing w:after="60"/>
      </w:pPr>
      <w:r>
        <w:t>A contact for questions or complaints and confirmation that the policy applies to this repository.</w:t>
      </w:r>
    </w:p>
    <w:p>
      <w:pPr>
        <w:pStyle w:val="ListBullet"/>
        <w:spacing w:after="60"/>
      </w:pPr>
      <w:r>
        <w:t>English text and any additional language version required by UIST.</w:t>
      </w:r>
    </w:p>
    <w:p>
      <w:pPr>
        <w:pStyle w:val="Heading1"/>
        <w:pageBreakBefore/>
      </w:pPr>
      <w:r>
        <w:t>Registry accounts and submissions</w:t>
      </w:r>
    </w:p>
    <w:p>
      <w:r>
        <w:t>EDEN will continue to show No record for re3data and FAIRsharing until both registries publish a matching public UIST record. Repository metadata alone cannot remove those two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blHeader w:val="true"/>
        </w:trPr>
        <w:tc>
          <w:tcPr>
            <w:tcW w:type="dxa" w:w="1944"/>
            <w:tcMar>
              <w:top w:w="120" w:type="dxa"/>
              <w:start w:w="140" w:type="dxa"/>
              <w:bottom w:w="120" w:type="dxa"/>
              <w:end w:w="140" w:type="dxa"/>
            </w:tcMar>
            <w:vAlign w:val="center"/>
            <w:shd w:fill="17365D"/>
          </w:tcPr>
          <w:p>
            <w:pPr>
              <w:spacing w:after="0" w:line="259" w:lineRule="auto"/>
            </w:pPr>
            <w:r>
              <w:rPr>
                <w:rFonts w:ascii="Aptos" w:hAnsi="Aptos"/>
                <w:b/>
                <w:color w:val="FFFFFF"/>
                <w:sz w:val="18"/>
              </w:rPr>
              <w:t>Topic</w:t>
            </w:r>
          </w:p>
        </w:tc>
        <w:tc>
          <w:tcPr>
            <w:tcW w:type="dxa" w:w="4968"/>
            <w:tcMar>
              <w:top w:w="120" w:type="dxa"/>
              <w:start w:w="140" w:type="dxa"/>
              <w:bottom w:w="120" w:type="dxa"/>
              <w:end w:w="140" w:type="dxa"/>
            </w:tcMar>
            <w:vAlign w:val="center"/>
            <w:shd w:fill="17365D"/>
          </w:tcPr>
          <w:p>
            <w:pPr>
              <w:spacing w:after="0" w:line="259" w:lineRule="auto"/>
            </w:pPr>
            <w:r>
              <w:rPr>
                <w:rFonts w:ascii="Aptos" w:hAnsi="Aptos"/>
                <w:b/>
                <w:color w:val="FFFFFF"/>
                <w:sz w:val="18"/>
              </w:rPr>
              <w:t>Question for UIST</w:t>
            </w:r>
          </w:p>
        </w:tc>
        <w:tc>
          <w:tcPr>
            <w:tcW w:type="dxa" w:w="2880"/>
            <w:tcMar>
              <w:top w:w="120" w:type="dxa"/>
              <w:start w:w="140" w:type="dxa"/>
              <w:bottom w:w="120" w:type="dxa"/>
              <w:end w:w="140" w:type="dxa"/>
            </w:tcMar>
            <w:vAlign w:val="center"/>
            <w:shd w:fill="17365D"/>
          </w:tcPr>
          <w:p>
            <w:pPr>
              <w:spacing w:after="0" w:line="259" w:lineRule="auto"/>
            </w:pPr>
            <w:r>
              <w:rPr>
                <w:rFonts w:ascii="Aptos" w:hAnsi="Aptos"/>
                <w:b/>
                <w:color w:val="FFFFFF"/>
                <w:sz w:val="18"/>
              </w:rPr>
              <w:t>Response or evidence</w:t>
            </w:r>
          </w:p>
        </w:tc>
      </w:tr>
      <w:tr>
        <w:trPr>
          <w:cantSplit/>
        </w:trPr>
        <w:tc>
          <w:tcPr>
            <w:tcW w:type="dxa" w:w="1944"/>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Account ownership</w:t>
            </w:r>
          </w:p>
        </w:tc>
        <w:tc>
          <w:tcPr>
            <w:tcW w:type="dxa" w:w="4968"/>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Which UIST office will own each account?</w:t>
            </w:r>
          </w:p>
        </w:tc>
        <w:tc>
          <w:tcPr>
            <w:tcW w:type="dxa" w:w="288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Office, institutional email, and recovery owner</w:t>
            </w:r>
          </w:p>
        </w:tc>
      </w:tr>
      <w:tr>
        <w:trPr>
          <w:cantSplit/>
        </w:trPr>
        <w:tc>
          <w:tcPr>
            <w:tcW w:type="dxa" w:w="1944"/>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Authorized submitter</w:t>
            </w:r>
          </w:p>
        </w:tc>
        <w:tc>
          <w:tcPr>
            <w:tcW w:type="dxa" w:w="4968"/>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Who may approve and submit each record?</w:t>
            </w:r>
          </w:p>
        </w:tc>
        <w:tc>
          <w:tcPr>
            <w:tcW w:type="dxa" w:w="288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Name, role, and maintained email</w:t>
            </w:r>
          </w:p>
        </w:tc>
      </w:tr>
      <w:tr>
        <w:trPr>
          <w:cantSplit/>
        </w:trPr>
        <w:tc>
          <w:tcPr>
            <w:tcW w:type="dxa" w:w="1944"/>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Credential custody</w:t>
            </w:r>
          </w:p>
        </w:tc>
        <w:tc>
          <w:tcPr>
            <w:tcW w:type="dxa" w:w="4968"/>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How will passwords, recovery codes, and staff changes be managed?</w:t>
            </w:r>
          </w:p>
        </w:tc>
        <w:tc>
          <w:tcPr>
            <w:tcW w:type="dxa" w:w="288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Approved secure process; do not include credentials here</w:t>
            </w:r>
          </w:p>
        </w:tc>
      </w:tr>
      <w:tr>
        <w:trPr>
          <w:cantSplit/>
        </w:trPr>
        <w:tc>
          <w:tcPr>
            <w:tcW w:type="dxa" w:w="1944"/>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Submission approval</w:t>
            </w:r>
          </w:p>
        </w:tc>
        <w:tc>
          <w:tcPr>
            <w:tcW w:type="dxa" w:w="4968"/>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Who gives final approval to the exact re3data and FAIRsharing payloads?</w:t>
            </w:r>
          </w:p>
        </w:tc>
        <w:tc>
          <w:tcPr>
            <w:tcW w:type="dxa" w:w="288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Approver and approval method</w:t>
            </w:r>
          </w:p>
        </w:tc>
      </w:tr>
      <w:tr>
        <w:trPr>
          <w:cantSplit/>
        </w:trPr>
        <w:tc>
          <w:tcPr>
            <w:tcW w:type="dxa" w:w="1944"/>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Curator response</w:t>
            </w:r>
          </w:p>
        </w:tc>
        <w:tc>
          <w:tcPr>
            <w:tcW w:type="dxa" w:w="4968"/>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Who will answer registry curator questions and approve corrections?</w:t>
            </w:r>
          </w:p>
        </w:tc>
        <w:tc>
          <w:tcPr>
            <w:tcW w:type="dxa" w:w="288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Named owner and backup</w:t>
            </w:r>
          </w:p>
        </w:tc>
      </w:tr>
      <w:tr>
        <w:trPr>
          <w:cantSplit/>
        </w:trPr>
        <w:tc>
          <w:tcPr>
            <w:tcW w:type="dxa" w:w="1944"/>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Ongoing maintenance</w:t>
            </w:r>
          </w:p>
        </w:tc>
        <w:tc>
          <w:tcPr>
            <w:tcW w:type="dxa" w:w="4968"/>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Who will update public registry records after policy, contact, PID, interface, or hosting changes?</w:t>
            </w:r>
          </w:p>
        </w:tc>
        <w:tc>
          <w:tcPr>
            <w:tcW w:type="dxa" w:w="288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Named office and review frequency</w:t>
            </w:r>
          </w:p>
        </w:tc>
      </w:tr>
    </w:tbl>
    <w:p>
      <w:pPr>
        <w:spacing w:after="0"/>
      </w:pPr>
    </w:p>
    <w:p>
      <w:pPr>
        <w:pStyle w:val="Heading2"/>
      </w:pPr>
      <w:r>
        <w:t>Information needed for both records</w:t>
      </w:r>
    </w:p>
    <w:p>
      <w:pPr>
        <w:spacing w:after="80"/>
        <w:ind w:left="230" w:hanging="230"/>
      </w:pPr>
      <w:r>
        <w:t>[ ] Approved repository identity, description, institution, country, postal address, languages, and research areas.</w:t>
      </w:r>
    </w:p>
    <w:p>
      <w:pPr>
        <w:spacing w:after="80"/>
        <w:ind w:left="230" w:hanging="230"/>
      </w:pPr>
      <w:r>
        <w:t>[ ] Approved repository contact and responsible organisation.</w:t>
      </w:r>
    </w:p>
    <w:p>
      <w:pPr>
        <w:spacing w:after="80"/>
        <w:ind w:left="230" w:hanging="230"/>
      </w:pPr>
      <w:r>
        <w:t>[ ] Confirmed content types, metadata formats, and production service interfaces.</w:t>
      </w:r>
    </w:p>
    <w:p>
      <w:pPr>
        <w:spacing w:after="80"/>
        <w:ind w:left="230" w:hanging="230"/>
      </w:pPr>
      <w:r>
        <w:t>[ ] Verified Handle and DOI position.</w:t>
      </w:r>
    </w:p>
    <w:p>
      <w:pPr>
        <w:spacing w:after="80"/>
        <w:ind w:left="230" w:hanging="230"/>
      </w:pPr>
      <w:r>
        <w:t>[ ] Public policy and licence URLs for every claim.</w:t>
      </w:r>
    </w:p>
    <w:p>
      <w:pPr>
        <w:spacing w:after="80"/>
        <w:ind w:left="230" w:hanging="230"/>
      </w:pPr>
      <w:r>
        <w:t>[ ] Evidence for any certification, seal, or formal standard.</w:t>
      </w:r>
    </w:p>
    <w:p>
      <w:pPr>
        <w:pStyle w:val="Heading2"/>
      </w:pPr>
      <w:r>
        <w:t>Approval to proceed</w:t>
      </w:r>
    </w:p>
    <w:p>
      <w:pPr>
        <w:spacing w:after="80"/>
        <w:ind w:left="230" w:hanging="230"/>
      </w:pPr>
      <w:r>
        <w:t>[ ] Create or confirm an institutionally controlled re3data account.</w:t>
      </w:r>
    </w:p>
    <w:p>
      <w:pPr>
        <w:spacing w:after="80"/>
        <w:ind w:left="230" w:hanging="230"/>
      </w:pPr>
      <w:r>
        <w:t>[ ] Create or confirm an institutionally controlled FAIRsharing account.</w:t>
      </w:r>
    </w:p>
    <w:p>
      <w:pPr>
        <w:spacing w:after="80"/>
        <w:ind w:left="230" w:hanging="230"/>
      </w:pPr>
      <w:r>
        <w:t>[ ] Review the prepared draft records and return corrections.</w:t>
      </w:r>
    </w:p>
    <w:p>
      <w:pPr>
        <w:spacing w:after="80"/>
        <w:ind w:left="230" w:hanging="230"/>
      </w:pPr>
      <w:r>
        <w:t>[ ] Authorize submission only after the exact final payloads are presented for approval.</w:t>
      </w:r>
    </w:p>
    <w:p>
      <w:pPr>
        <w:spacing w:after="80"/>
        <w:ind w:left="230" w:hanging="230"/>
      </w:pPr>
      <w:r>
        <w:t>[ ] Allow the development team to enable the published registry identifiers after both records are public.</w:t>
      </w:r>
    </w:p>
    <w:p>
      <w:pPr>
        <w:pStyle w:val="Heading1"/>
        <w:pageBreakBefore/>
      </w:pPr>
      <w:r>
        <w:t>Production hosting and deployment</w:t>
      </w:r>
    </w:p>
    <w:p>
      <w:r>
        <w:t>The implementation is committed on development branches and passes local checks. The public result cannot change until UIST authorizes and coordinates deployment.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blHeader w:val="true"/>
        </w:trPr>
        <w:tc>
          <w:tcPr>
            <w:tcW w:type="dxa" w:w="1800"/>
            <w:tcMar>
              <w:top w:w="120" w:type="dxa"/>
              <w:start w:w="140" w:type="dxa"/>
              <w:bottom w:w="120" w:type="dxa"/>
              <w:end w:w="140" w:type="dxa"/>
            </w:tcMar>
            <w:vAlign w:val="center"/>
            <w:shd w:fill="17365D"/>
          </w:tcPr>
          <w:p>
            <w:pPr>
              <w:spacing w:after="0" w:line="259" w:lineRule="auto"/>
            </w:pPr>
            <w:r>
              <w:rPr>
                <w:rFonts w:ascii="Aptos" w:hAnsi="Aptos"/>
                <w:b/>
                <w:color w:val="FFFFFF"/>
                <w:sz w:val="18"/>
              </w:rPr>
              <w:t>Topic</w:t>
            </w:r>
          </w:p>
        </w:tc>
        <w:tc>
          <w:tcPr>
            <w:tcW w:type="dxa" w:w="5112"/>
            <w:tcMar>
              <w:top w:w="120" w:type="dxa"/>
              <w:start w:w="140" w:type="dxa"/>
              <w:bottom w:w="120" w:type="dxa"/>
              <w:end w:w="140" w:type="dxa"/>
            </w:tcMar>
            <w:vAlign w:val="center"/>
            <w:shd w:fill="17365D"/>
          </w:tcPr>
          <w:p>
            <w:pPr>
              <w:spacing w:after="0" w:line="259" w:lineRule="auto"/>
            </w:pPr>
            <w:r>
              <w:rPr>
                <w:rFonts w:ascii="Aptos" w:hAnsi="Aptos"/>
                <w:b/>
                <w:color w:val="FFFFFF"/>
                <w:sz w:val="18"/>
              </w:rPr>
              <w:t>Question for UIST</w:t>
            </w:r>
          </w:p>
        </w:tc>
        <w:tc>
          <w:tcPr>
            <w:tcW w:type="dxa" w:w="2880"/>
            <w:tcMar>
              <w:top w:w="120" w:type="dxa"/>
              <w:start w:w="140" w:type="dxa"/>
              <w:bottom w:w="120" w:type="dxa"/>
              <w:end w:w="140" w:type="dxa"/>
            </w:tcMar>
            <w:vAlign w:val="center"/>
            <w:shd w:fill="17365D"/>
          </w:tcPr>
          <w:p>
            <w:pPr>
              <w:spacing w:after="0" w:line="259" w:lineRule="auto"/>
            </w:pPr>
            <w:r>
              <w:rPr>
                <w:rFonts w:ascii="Aptos" w:hAnsi="Aptos"/>
                <w:b/>
                <w:color w:val="FFFFFF"/>
                <w:sz w:val="18"/>
              </w:rPr>
              <w:t>Response or evidence</w:t>
            </w:r>
          </w:p>
        </w:tc>
      </w:tr>
      <w:tr>
        <w:trPr>
          <w:cantSplit/>
        </w:trPr>
        <w:tc>
          <w:tcPr>
            <w:tcW w:type="dxa" w:w="180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System ownership</w:t>
            </w:r>
          </w:p>
        </w:tc>
        <w:tc>
          <w:tcPr>
            <w:tcW w:type="dxa" w:w="5112"/>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Who owns the production frontend, backend, database, search index, asset store, reverse proxy, and monitoring?</w:t>
            </w:r>
          </w:p>
        </w:tc>
        <w:tc>
          <w:tcPr>
            <w:tcW w:type="dxa" w:w="288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Named team and contacts</w:t>
            </w:r>
          </w:p>
        </w:tc>
      </w:tr>
      <w:tr>
        <w:trPr>
          <w:cantSplit/>
        </w:trPr>
        <w:tc>
          <w:tcPr>
            <w:tcW w:type="dxa" w:w="180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Release method</w:t>
            </w:r>
          </w:p>
        </w:tc>
        <w:tc>
          <w:tcPr>
            <w:tcW w:type="dxa" w:w="5112"/>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Will deployment use CI CD, container images, or administrator run commands?</w:t>
            </w:r>
          </w:p>
        </w:tc>
        <w:tc>
          <w:tcPr>
            <w:tcW w:type="dxa" w:w="288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Approved method and operator</w:t>
            </w:r>
          </w:p>
        </w:tc>
      </w:tr>
      <w:tr>
        <w:trPr>
          <w:cantSplit/>
        </w:trPr>
        <w:tc>
          <w:tcPr>
            <w:tcW w:type="dxa" w:w="180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Maintenance window</w:t>
            </w:r>
          </w:p>
        </w:tc>
        <w:tc>
          <w:tcPr>
            <w:tcW w:type="dxa" w:w="5112"/>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When may the backend and frontend be deployed and verified?</w:t>
            </w:r>
          </w:p>
        </w:tc>
        <w:tc>
          <w:tcPr>
            <w:tcW w:type="dxa" w:w="288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Date, duration, notification owner</w:t>
            </w:r>
          </w:p>
        </w:tc>
      </w:tr>
      <w:tr>
        <w:trPr>
          <w:cantSplit/>
        </w:trPr>
        <w:tc>
          <w:tcPr>
            <w:tcW w:type="dxa" w:w="180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Backup</w:t>
            </w:r>
          </w:p>
        </w:tc>
        <w:tc>
          <w:tcPr>
            <w:tcW w:type="dxa" w:w="5112"/>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Who confirms current database, asset store, configuration, and image backups?</w:t>
            </w:r>
          </w:p>
        </w:tc>
        <w:tc>
          <w:tcPr>
            <w:tcW w:type="dxa" w:w="288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Backup evidence and restore owner</w:t>
            </w:r>
          </w:p>
        </w:tc>
      </w:tr>
      <w:tr>
        <w:trPr>
          <w:cantSplit/>
        </w:trPr>
        <w:tc>
          <w:tcPr>
            <w:tcW w:type="dxa" w:w="180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Rollback</w:t>
            </w:r>
          </w:p>
        </w:tc>
        <w:tc>
          <w:tcPr>
            <w:tcW w:type="dxa" w:w="5112"/>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Who may authorize rollback and what version or image should be restored?</w:t>
            </w:r>
          </w:p>
        </w:tc>
        <w:tc>
          <w:tcPr>
            <w:tcW w:type="dxa" w:w="288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Named authority and rollback reference</w:t>
            </w:r>
          </w:p>
        </w:tc>
      </w:tr>
      <w:tr>
        <w:trPr>
          <w:cantSplit/>
        </w:trPr>
        <w:tc>
          <w:tcPr>
            <w:tcW w:type="dxa" w:w="180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Network and proxy</w:t>
            </w:r>
          </w:p>
        </w:tc>
        <w:tc>
          <w:tcPr>
            <w:tcW w:type="dxa" w:w="5112"/>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Who controls DNS, TLS, forwarded host and protocol headers, routes, firewall rules, caching, and CORS?</w:t>
            </w:r>
          </w:p>
        </w:tc>
        <w:tc>
          <w:tcPr>
            <w:tcW w:type="dxa" w:w="288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Administrator contact</w:t>
            </w:r>
          </w:p>
        </w:tc>
      </w:tr>
      <w:tr>
        <w:trPr>
          <w:cantSplit/>
        </w:trPr>
        <w:tc>
          <w:tcPr>
            <w:tcW w:type="dxa" w:w="180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Configuration</w:t>
            </w:r>
          </w:p>
        </w:tc>
        <w:tc>
          <w:tcPr>
            <w:tcW w:type="dxa" w:w="5112"/>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Where are production values managed and how are approved values promoted?</w:t>
            </w:r>
          </w:p>
        </w:tc>
        <w:tc>
          <w:tcPr>
            <w:tcW w:type="dxa" w:w="288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Configuration path or deployment mechanism</w:t>
            </w:r>
          </w:p>
        </w:tc>
      </w:tr>
      <w:tr>
        <w:trPr>
          <w:cantSplit/>
        </w:trPr>
        <w:tc>
          <w:tcPr>
            <w:tcW w:type="dxa" w:w="180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Secrets</w:t>
            </w:r>
          </w:p>
        </w:tc>
        <w:tc>
          <w:tcPr>
            <w:tcW w:type="dxa" w:w="5112"/>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Which approved secure channel will transfer any Handle or registry credentials?</w:t>
            </w:r>
          </w:p>
        </w:tc>
        <w:tc>
          <w:tcPr>
            <w:tcW w:type="dxa" w:w="288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Secure process only; no secrets in Git or this document</w:t>
            </w:r>
          </w:p>
        </w:tc>
      </w:tr>
      <w:tr>
        <w:trPr>
          <w:cantSplit/>
        </w:trPr>
        <w:tc>
          <w:tcPr>
            <w:tcW w:type="dxa" w:w="180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Indexing</w:t>
            </w:r>
          </w:p>
        </w:tc>
        <w:tc>
          <w:tcPr>
            <w:tcW w:type="dxa" w:w="5112"/>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Who may rebuild DSpace Discovery and OAI PMH indexes after deployment?</w:t>
            </w:r>
          </w:p>
        </w:tc>
        <w:tc>
          <w:tcPr>
            <w:tcW w:type="dxa" w:w="2880"/>
            <w:tcMar>
              <w:top w:w="120" w:type="dxa"/>
              <w:start w:w="140" w:type="dxa"/>
              <w:bottom w:w="120" w:type="dxa"/>
              <w:end w:w="140" w:type="dxa"/>
            </w:tcMar>
            <w:vAlign w:val="center"/>
            <w:shd w:fill="FFFFFF"/>
          </w:tcPr>
          <w:p>
            <w:pPr>
              <w:spacing w:after="0" w:line="259" w:lineRule="auto"/>
            </w:pPr>
            <w:r>
              <w:rPr>
                <w:rFonts w:ascii="Aptos" w:hAnsi="Aptos"/>
                <w:b w:val="0"/>
                <w:color w:val="1F1F1F"/>
                <w:sz w:val="18"/>
              </w:rPr>
              <w:t>Operator and scheduled time</w:t>
            </w:r>
          </w:p>
        </w:tc>
      </w:tr>
      <w:tr>
        <w:trPr>
          <w:cantSplit/>
        </w:trPr>
        <w:tc>
          <w:tcPr>
            <w:tcW w:type="dxa" w:w="180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Monitoring</w:t>
            </w:r>
          </w:p>
        </w:tc>
        <w:tc>
          <w:tcPr>
            <w:tcW w:type="dxa" w:w="5112"/>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Who will monitor application health, certificates, backups, PIDs, policy reviews, registries, and repository contact messages?</w:t>
            </w:r>
          </w:p>
        </w:tc>
        <w:tc>
          <w:tcPr>
            <w:tcW w:type="dxa" w:w="2880"/>
            <w:tcMar>
              <w:top w:w="120" w:type="dxa"/>
              <w:start w:w="140" w:type="dxa"/>
              <w:bottom w:w="120" w:type="dxa"/>
              <w:end w:w="140" w:type="dxa"/>
            </w:tcMar>
            <w:vAlign w:val="center"/>
            <w:shd w:fill="EAF1F8"/>
          </w:tcPr>
          <w:p>
            <w:pPr>
              <w:spacing w:after="0" w:line="259" w:lineRule="auto"/>
            </w:pPr>
            <w:r>
              <w:rPr>
                <w:rFonts w:ascii="Aptos" w:hAnsi="Aptos"/>
                <w:b w:val="0"/>
                <w:color w:val="1F1F1F"/>
                <w:sz w:val="18"/>
              </w:rPr>
              <w:t>Operational owners and escalation path</w:t>
            </w:r>
          </w:p>
        </w:tc>
      </w:tr>
    </w:tbl>
    <w:p>
      <w:pPr>
        <w:spacing w:after="0"/>
      </w:pPr>
    </w:p>
    <w:p>
      <w:pPr>
        <w:pStyle w:val="Heading2"/>
      </w:pPr>
      <w:r>
        <w:t>Requested deployment authorization</w:t>
      </w:r>
    </w:p>
    <w:p>
      <w:pPr>
        <w:spacing w:after="80"/>
        <w:ind w:left="230" w:hanging="230"/>
      </w:pPr>
      <w:r>
        <w:t>[ ] Approve backend deployment before frontend deployment.</w:t>
      </w:r>
    </w:p>
    <w:p>
      <w:pPr>
        <w:spacing w:after="80"/>
        <w:ind w:left="230" w:hanging="230"/>
      </w:pPr>
      <w:r>
        <w:t>[ ] Approve read only production endpoint checks after each deployment step.</w:t>
      </w:r>
    </w:p>
    <w:p>
      <w:pPr>
        <w:spacing w:after="80"/>
        <w:ind w:left="230" w:hanging="230"/>
      </w:pPr>
      <w:r>
        <w:t>[ ] Approve final EDEN harvests of https://repository.uist.edu.mk/ and /home.</w:t>
      </w:r>
    </w:p>
    <w:p>
      <w:pPr>
        <w:spacing w:after="80"/>
        <w:ind w:left="230" w:hanging="230"/>
      </w:pPr>
      <w:r>
        <w:t>[ ] Approve rollback if privacy checks fail or advertised endpoints are unavailable.</w:t>
      </w:r>
    </w:p>
    <w:p>
      <w:pPr>
        <w:pStyle w:val="Heading2"/>
      </w:pPr>
      <w:r>
        <w:t>Production details to return</w:t>
      </w:r>
    </w:p>
    <w:p>
      <w:pPr>
        <w:spacing w:after="40"/>
      </w:pPr>
      <w:r>
        <w:rPr>
          <w:rFonts w:ascii="Aptos" w:hAnsi="Aptos"/>
          <w:color w:val="969696"/>
          <w:sz w:val="18"/>
        </w:rPr>
        <w:t>____________________________________________________________________________________________</w:t>
      </w:r>
    </w:p>
    <w:p>
      <w:pPr>
        <w:spacing w:after="40"/>
      </w:pPr>
      <w:r>
        <w:rPr>
          <w:rFonts w:ascii="Aptos" w:hAnsi="Aptos"/>
          <w:color w:val="969696"/>
          <w:sz w:val="18"/>
        </w:rPr>
        <w:t>____________________________________________________________________________________________</w:t>
      </w:r>
    </w:p>
    <w:p>
      <w:pPr>
        <w:pStyle w:val="Heading1"/>
        <w:pageBreakBefore/>
      </w:pPr>
      <w:r>
        <w:t>Material to return</w:t>
      </w:r>
    </w:p>
    <w:p>
      <w:pPr>
        <w:spacing w:after="80"/>
        <w:ind w:left="230" w:hanging="230"/>
      </w:pPr>
      <w:r>
        <w:t>[ ] Names and maintained contact details for the institutional approver, technical production owner, policy owner, repository contact, and registry account owners.</w:t>
      </w:r>
    </w:p>
    <w:p>
      <w:pPr>
        <w:spacing w:after="80"/>
        <w:ind w:left="230" w:hanging="230"/>
      </w:pPr>
      <w:r>
        <w:t>[ ] Exact approved repository name, description, institution name, country, postal address, languages, research areas, and content types.</w:t>
      </w:r>
    </w:p>
    <w:p>
      <w:pPr>
        <w:spacing w:after="80"/>
        <w:ind w:left="230" w:hanging="230"/>
      </w:pPr>
      <w:r>
        <w:t>[ ] A Handle decision with proof of an existing UIST prefix or authorization to acquire one, plus the legacy identifier and operating model decisions.</w:t>
      </w:r>
    </w:p>
    <w:p>
      <w:pPr>
        <w:spacing w:after="80"/>
        <w:ind w:left="230" w:hanging="230"/>
      </w:pPr>
      <w:r>
        <w:t>[ ] A precise DOI statement: UIST minting, external DOI recording only, or no current DOI support.</w:t>
      </w:r>
    </w:p>
    <w:p>
      <w:pPr>
        <w:spacing w:after="80"/>
        <w:ind w:left="230" w:hanging="230"/>
      </w:pPr>
      <w:r>
        <w:t>[ ] Approved policy text or named owners and deadlines for every policy still to be drafted.</w:t>
      </w:r>
    </w:p>
    <w:p>
      <w:pPr>
        <w:spacing w:after="80"/>
        <w:ind w:left="230" w:hanging="230"/>
      </w:pPr>
      <w:r>
        <w:t>[ ] Stable public URLs for approved policies and licences.</w:t>
      </w:r>
    </w:p>
    <w:p>
      <w:pPr>
        <w:spacing w:after="80"/>
        <w:ind w:left="230" w:hanging="230"/>
      </w:pPr>
      <w:r>
        <w:t>[ ] Confirmation of UIST owned re3data and FAIRsharing accounts and the authorized submitters.</w:t>
      </w:r>
    </w:p>
    <w:p>
      <w:pPr>
        <w:spacing w:after="80"/>
        <w:ind w:left="230" w:hanging="230"/>
      </w:pPr>
      <w:r>
        <w:t>[ ] Production release method, maintenance window, backup confirmation, rollback authority, and technical contacts.</w:t>
      </w:r>
    </w:p>
    <w:p>
      <w:pPr>
        <w:pStyle w:val="Heading1"/>
      </w:pPr>
      <w:r>
        <w:t>Decision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cantSplit/>
          <w:tblHeader w:val="true"/>
        </w:trPr>
        <w:tc>
          <w:tcPr>
            <w:tcW w:type="dxa" w:w="3096"/>
            <w:tcMar>
              <w:top w:w="120" w:type="dxa"/>
              <w:start w:w="140" w:type="dxa"/>
              <w:bottom w:w="120" w:type="dxa"/>
              <w:end w:w="140" w:type="dxa"/>
            </w:tcMar>
            <w:vAlign w:val="center"/>
            <w:shd w:fill="17365D"/>
          </w:tcPr>
          <w:p>
            <w:pPr>
              <w:spacing w:after="0" w:line="259" w:lineRule="auto"/>
            </w:pPr>
            <w:r>
              <w:rPr>
                <w:rFonts w:ascii="Aptos" w:hAnsi="Aptos"/>
                <w:b/>
                <w:color w:val="FFFFFF"/>
                <w:sz w:val="19"/>
              </w:rPr>
              <w:t>Information</w:t>
            </w:r>
          </w:p>
        </w:tc>
        <w:tc>
          <w:tcPr>
            <w:tcW w:type="dxa" w:w="6696"/>
            <w:tcMar>
              <w:top w:w="120" w:type="dxa"/>
              <w:start w:w="140" w:type="dxa"/>
              <w:bottom w:w="120" w:type="dxa"/>
              <w:end w:w="140" w:type="dxa"/>
            </w:tcMar>
            <w:vAlign w:val="center"/>
            <w:shd w:fill="17365D"/>
          </w:tcPr>
          <w:p>
            <w:pPr>
              <w:spacing w:after="0" w:line="259" w:lineRule="auto"/>
            </w:pPr>
            <w:r>
              <w:rPr>
                <w:rFonts w:ascii="Aptos" w:hAnsi="Aptos"/>
                <w:b/>
                <w:color w:val="FFFFFF"/>
                <w:sz w:val="19"/>
              </w:rPr>
              <w:t>UIST response</w:t>
            </w:r>
          </w:p>
        </w:tc>
      </w:tr>
      <w:tr>
        <w:trPr>
          <w:cantSplit/>
        </w:trPr>
        <w:tc>
          <w:tcPr>
            <w:tcW w:type="dxa" w:w="3096"/>
            <w:tcMar>
              <w:top w:w="120" w:type="dxa"/>
              <w:start w:w="140" w:type="dxa"/>
              <w:bottom w:w="120" w:type="dxa"/>
              <w:end w:w="140" w:type="dxa"/>
            </w:tcMar>
            <w:vAlign w:val="center"/>
            <w:shd w:fill="FFFFFF"/>
          </w:tcPr>
          <w:p>
            <w:pPr>
              <w:spacing w:after="0" w:line="259" w:lineRule="auto"/>
            </w:pPr>
            <w:r>
              <w:rPr>
                <w:rFonts w:ascii="Aptos" w:hAnsi="Aptos"/>
                <w:b/>
                <w:color w:val="1F1F1F"/>
                <w:sz w:val="19"/>
              </w:rPr>
              <w:t>UIST decision owner</w:t>
            </w:r>
          </w:p>
        </w:tc>
        <w:tc>
          <w:tcPr>
            <w:tcW w:type="dxa" w:w="6696"/>
            <w:tcMar>
              <w:top w:w="120" w:type="dxa"/>
              <w:start w:w="140" w:type="dxa"/>
              <w:bottom w:w="120" w:type="dxa"/>
              <w:end w:w="140" w:type="dxa"/>
            </w:tcMar>
            <w:vAlign w:val="center"/>
            <w:shd w:fill="FFFFFF"/>
          </w:tcPr>
          <w:p>
            <w:pPr>
              <w:spacing w:after="0" w:line="259" w:lineRule="auto"/>
            </w:pPr>
            <w:r>
              <w:rPr>
                <w:rFonts w:ascii="Aptos" w:hAnsi="Aptos"/>
                <w:b w:val="0"/>
                <w:color w:val="1F1F1F"/>
                <w:sz w:val="19"/>
              </w:rPr>
              <w:br/>
            </w:r>
          </w:p>
        </w:tc>
      </w:tr>
      <w:tr>
        <w:trPr>
          <w:cantSplit/>
        </w:trPr>
        <w:tc>
          <w:tcPr>
            <w:tcW w:type="dxa" w:w="3096"/>
            <w:tcMar>
              <w:top w:w="120" w:type="dxa"/>
              <w:start w:w="140" w:type="dxa"/>
              <w:bottom w:w="120" w:type="dxa"/>
              <w:end w:w="140" w:type="dxa"/>
            </w:tcMar>
            <w:vAlign w:val="center"/>
            <w:shd w:fill="EAF1F8"/>
          </w:tcPr>
          <w:p>
            <w:pPr>
              <w:spacing w:after="0" w:line="259" w:lineRule="auto"/>
            </w:pPr>
            <w:r>
              <w:rPr>
                <w:rFonts w:ascii="Aptos" w:hAnsi="Aptos"/>
                <w:b/>
                <w:color w:val="1F1F1F"/>
                <w:sz w:val="19"/>
              </w:rPr>
              <w:t>Role and office</w:t>
            </w:r>
          </w:p>
        </w:tc>
        <w:tc>
          <w:tcPr>
            <w:tcW w:type="dxa" w:w="6696"/>
            <w:tcMar>
              <w:top w:w="120" w:type="dxa"/>
              <w:start w:w="140" w:type="dxa"/>
              <w:bottom w:w="120" w:type="dxa"/>
              <w:end w:w="140" w:type="dxa"/>
            </w:tcMar>
            <w:vAlign w:val="center"/>
            <w:shd w:fill="EAF1F8"/>
          </w:tcPr>
          <w:p>
            <w:pPr>
              <w:spacing w:after="0" w:line="259" w:lineRule="auto"/>
            </w:pPr>
            <w:r>
              <w:rPr>
                <w:rFonts w:ascii="Aptos" w:hAnsi="Aptos"/>
                <w:b w:val="0"/>
                <w:color w:val="1F1F1F"/>
                <w:sz w:val="19"/>
              </w:rPr>
              <w:br/>
            </w:r>
          </w:p>
        </w:tc>
      </w:tr>
      <w:tr>
        <w:trPr>
          <w:cantSplit/>
        </w:trPr>
        <w:tc>
          <w:tcPr>
            <w:tcW w:type="dxa" w:w="3096"/>
            <w:tcMar>
              <w:top w:w="120" w:type="dxa"/>
              <w:start w:w="140" w:type="dxa"/>
              <w:bottom w:w="120" w:type="dxa"/>
              <w:end w:w="140" w:type="dxa"/>
            </w:tcMar>
            <w:vAlign w:val="center"/>
            <w:shd w:fill="FFFFFF"/>
          </w:tcPr>
          <w:p>
            <w:pPr>
              <w:spacing w:after="0" w:line="259" w:lineRule="auto"/>
            </w:pPr>
            <w:r>
              <w:rPr>
                <w:rFonts w:ascii="Aptos" w:hAnsi="Aptos"/>
                <w:b/>
                <w:color w:val="1F1F1F"/>
                <w:sz w:val="19"/>
              </w:rPr>
              <w:t>Email</w:t>
            </w:r>
          </w:p>
        </w:tc>
        <w:tc>
          <w:tcPr>
            <w:tcW w:type="dxa" w:w="6696"/>
            <w:tcMar>
              <w:top w:w="120" w:type="dxa"/>
              <w:start w:w="140" w:type="dxa"/>
              <w:bottom w:w="120" w:type="dxa"/>
              <w:end w:w="140" w:type="dxa"/>
            </w:tcMar>
            <w:vAlign w:val="center"/>
            <w:shd w:fill="FFFFFF"/>
          </w:tcPr>
          <w:p>
            <w:pPr>
              <w:spacing w:after="0" w:line="259" w:lineRule="auto"/>
            </w:pPr>
            <w:r>
              <w:rPr>
                <w:rFonts w:ascii="Aptos" w:hAnsi="Aptos"/>
                <w:b w:val="0"/>
                <w:color w:val="1F1F1F"/>
                <w:sz w:val="19"/>
              </w:rPr>
              <w:br/>
            </w:r>
          </w:p>
        </w:tc>
      </w:tr>
      <w:tr>
        <w:trPr>
          <w:cantSplit/>
        </w:trPr>
        <w:tc>
          <w:tcPr>
            <w:tcW w:type="dxa" w:w="3096"/>
            <w:tcMar>
              <w:top w:w="120" w:type="dxa"/>
              <w:start w:w="140" w:type="dxa"/>
              <w:bottom w:w="120" w:type="dxa"/>
              <w:end w:w="140" w:type="dxa"/>
            </w:tcMar>
            <w:vAlign w:val="center"/>
            <w:shd w:fill="EAF1F8"/>
          </w:tcPr>
          <w:p>
            <w:pPr>
              <w:spacing w:after="0" w:line="259" w:lineRule="auto"/>
            </w:pPr>
            <w:r>
              <w:rPr>
                <w:rFonts w:ascii="Aptos" w:hAnsi="Aptos"/>
                <w:b/>
                <w:color w:val="1F1F1F"/>
                <w:sz w:val="19"/>
              </w:rPr>
              <w:t>Meeting or approval date</w:t>
            </w:r>
          </w:p>
        </w:tc>
        <w:tc>
          <w:tcPr>
            <w:tcW w:type="dxa" w:w="6696"/>
            <w:tcMar>
              <w:top w:w="120" w:type="dxa"/>
              <w:start w:w="140" w:type="dxa"/>
              <w:bottom w:w="120" w:type="dxa"/>
              <w:end w:w="140" w:type="dxa"/>
            </w:tcMar>
            <w:vAlign w:val="center"/>
            <w:shd w:fill="EAF1F8"/>
          </w:tcPr>
          <w:p>
            <w:pPr>
              <w:spacing w:after="0" w:line="259" w:lineRule="auto"/>
            </w:pPr>
            <w:r>
              <w:rPr>
                <w:rFonts w:ascii="Aptos" w:hAnsi="Aptos"/>
                <w:b w:val="0"/>
                <w:color w:val="1F1F1F"/>
                <w:sz w:val="19"/>
              </w:rPr>
              <w:br/>
            </w:r>
          </w:p>
        </w:tc>
      </w:tr>
      <w:tr>
        <w:trPr>
          <w:cantSplit/>
        </w:trPr>
        <w:tc>
          <w:tcPr>
            <w:tcW w:type="dxa" w:w="3096"/>
            <w:tcMar>
              <w:top w:w="120" w:type="dxa"/>
              <w:start w:w="140" w:type="dxa"/>
              <w:bottom w:w="120" w:type="dxa"/>
              <w:end w:w="140" w:type="dxa"/>
            </w:tcMar>
            <w:vAlign w:val="center"/>
            <w:shd w:fill="FFFFFF"/>
          </w:tcPr>
          <w:p>
            <w:pPr>
              <w:spacing w:after="0" w:line="259" w:lineRule="auto"/>
            </w:pPr>
            <w:r>
              <w:rPr>
                <w:rFonts w:ascii="Aptos" w:hAnsi="Aptos"/>
                <w:b/>
                <w:color w:val="1F1F1F"/>
                <w:sz w:val="19"/>
              </w:rPr>
              <w:t>Documents or URLs supplied</w:t>
            </w:r>
          </w:p>
        </w:tc>
        <w:tc>
          <w:tcPr>
            <w:tcW w:type="dxa" w:w="6696"/>
            <w:tcMar>
              <w:top w:w="120" w:type="dxa"/>
              <w:start w:w="140" w:type="dxa"/>
              <w:bottom w:w="120" w:type="dxa"/>
              <w:end w:w="140" w:type="dxa"/>
            </w:tcMar>
            <w:vAlign w:val="center"/>
            <w:shd w:fill="FFFFFF"/>
          </w:tcPr>
          <w:p>
            <w:pPr>
              <w:spacing w:after="0" w:line="259" w:lineRule="auto"/>
            </w:pPr>
            <w:r>
              <w:rPr>
                <w:rFonts w:ascii="Aptos" w:hAnsi="Aptos"/>
                <w:b w:val="0"/>
                <w:color w:val="1F1F1F"/>
                <w:sz w:val="19"/>
              </w:rPr>
              <w:br/>
            </w:r>
          </w:p>
        </w:tc>
      </w:tr>
      <w:tr>
        <w:trPr>
          <w:cantSplit/>
        </w:trPr>
        <w:tc>
          <w:tcPr>
            <w:tcW w:type="dxa" w:w="3096"/>
            <w:tcMar>
              <w:top w:w="120" w:type="dxa"/>
              <w:start w:w="140" w:type="dxa"/>
              <w:bottom w:w="120" w:type="dxa"/>
              <w:end w:w="140" w:type="dxa"/>
            </w:tcMar>
            <w:vAlign w:val="center"/>
            <w:shd w:fill="EAF1F8"/>
          </w:tcPr>
          <w:p>
            <w:pPr>
              <w:spacing w:after="0" w:line="259" w:lineRule="auto"/>
            </w:pPr>
            <w:r>
              <w:rPr>
                <w:rFonts w:ascii="Aptos" w:hAnsi="Aptos"/>
                <w:b/>
                <w:color w:val="1F1F1F"/>
                <w:sz w:val="19"/>
              </w:rPr>
              <w:t>Remaining decisions and target dates</w:t>
            </w:r>
          </w:p>
        </w:tc>
        <w:tc>
          <w:tcPr>
            <w:tcW w:type="dxa" w:w="6696"/>
            <w:tcMar>
              <w:top w:w="120" w:type="dxa"/>
              <w:start w:w="140" w:type="dxa"/>
              <w:bottom w:w="120" w:type="dxa"/>
              <w:end w:w="140" w:type="dxa"/>
            </w:tcMar>
            <w:vAlign w:val="center"/>
            <w:shd w:fill="EAF1F8"/>
          </w:tcPr>
          <w:p>
            <w:pPr>
              <w:spacing w:after="0" w:line="259" w:lineRule="auto"/>
            </w:pPr>
            <w:r>
              <w:rPr>
                <w:rFonts w:ascii="Aptos" w:hAnsi="Aptos"/>
                <w:b w:val="0"/>
                <w:color w:val="1F1F1F"/>
                <w:sz w:val="19"/>
              </w:rPr>
              <w:br/>
            </w:r>
          </w:p>
        </w:tc>
      </w:tr>
    </w:tbl>
    <w:p>
      <w:pPr>
        <w:pStyle w:val="Heading2"/>
        <w:pageBreakBefore/>
      </w:pPr>
      <w:r>
        <w:t>Approval scope</w:t>
      </w:r>
    </w:p>
    <w:p>
      <w:pPr>
        <w:spacing w:after="80"/>
        <w:ind w:left="230" w:hanging="230"/>
      </w:pPr>
      <w:r>
        <w:t>[ ] Repository public identity approved.</w:t>
      </w:r>
    </w:p>
    <w:p>
      <w:pPr>
        <w:spacing w:after="80"/>
        <w:ind w:left="230" w:hanging="230"/>
      </w:pPr>
      <w:r>
        <w:t>[ ] Public contact and address approved.</w:t>
      </w:r>
    </w:p>
    <w:p>
      <w:pPr>
        <w:spacing w:after="80"/>
        <w:ind w:left="230" w:hanging="230"/>
      </w:pPr>
      <w:r>
        <w:t>[ ] Research areas, languages, and content types approved.</w:t>
      </w:r>
    </w:p>
    <w:p>
      <w:pPr>
        <w:spacing w:after="80"/>
        <w:ind w:left="230" w:hanging="230"/>
      </w:pPr>
      <w:r>
        <w:t>[ ] Handle and DOI decisions approved.</w:t>
      </w:r>
    </w:p>
    <w:p>
      <w:pPr>
        <w:spacing w:after="80"/>
        <w:ind w:left="230" w:hanging="230"/>
      </w:pPr>
      <w:r>
        <w:t>[ ] Policies approved or assigned to named owners.</w:t>
      </w:r>
    </w:p>
    <w:p>
      <w:pPr>
        <w:spacing w:after="80"/>
        <w:ind w:left="230" w:hanging="230"/>
      </w:pPr>
      <w:r>
        <w:t>[ ] Registry accounts and submission process approved.</w:t>
      </w:r>
    </w:p>
    <w:p>
      <w:pPr>
        <w:spacing w:after="80"/>
        <w:ind w:left="230" w:hanging="230"/>
      </w:pPr>
      <w:r>
        <w:t>[ ] Production deployment authorized.</w:t>
      </w:r>
    </w:p>
    <w:p>
      <w:pPr>
        <w:pStyle w:val="Heading2"/>
      </w:pPr>
      <w:r>
        <w:t>Reference links</w:t>
      </w:r>
    </w:p>
    <w:p>
      <w:pPr>
        <w:pStyle w:val="ListBullet"/>
      </w:pPr>
      <w:hyperlink r:id="rId12">
        <w:r>
          <w:rPr>
            <w:color w:val="0563C1"/>
            <w:u w:val="single"/>
          </w:rPr>
          <w:t>UIST Digital Repository</w:t>
        </w:r>
      </w:hyperlink>
    </w:p>
    <w:p>
      <w:pPr>
        <w:pStyle w:val="ListBullet"/>
      </w:pPr>
      <w:hyperlink r:id="rId13">
        <w:r>
          <w:rPr>
            <w:color w:val="0563C1"/>
            <w:u w:val="single"/>
          </w:rPr>
          <w:t>EDEN Repository Harvester</w:t>
        </w:r>
      </w:hyperlink>
    </w:p>
    <w:p>
      <w:pPr>
        <w:pStyle w:val="ListBullet"/>
      </w:pPr>
      <w:hyperlink r:id="rId14">
        <w:r>
          <w:rPr>
            <w:color w:val="0563C1"/>
            <w:u w:val="single"/>
          </w:rPr>
          <w:t>Handle.Net prefix information</w:t>
        </w:r>
      </w:hyperlink>
    </w:p>
    <w:p>
      <w:pPr>
        <w:pStyle w:val="ListBullet"/>
      </w:pPr>
      <w:hyperlink r:id="rId11">
        <w:r>
          <w:rPr>
            <w:color w:val="0563C1"/>
            <w:u w:val="single"/>
          </w:rPr>
          <w:t>UKIM Handle example</w:t>
        </w:r>
      </w:hyperlink>
    </w:p>
    <w:p>
      <w:pPr>
        <w:pStyle w:val="ListBullet"/>
      </w:pPr>
      <w:hyperlink r:id="rId15">
        <w:r>
          <w:rPr>
            <w:color w:val="0563C1"/>
            <w:u w:val="single"/>
          </w:rPr>
          <w:t>re3data</w:t>
        </w:r>
      </w:hyperlink>
    </w:p>
    <w:p>
      <w:pPr>
        <w:pStyle w:val="ListBullet"/>
      </w:pPr>
      <w:hyperlink r:id="rId16">
        <w:r>
          <w:rPr>
            <w:color w:val="0563C1"/>
            <w:u w:val="single"/>
          </w:rPr>
          <w:t>FAIRsharing</w:t>
        </w:r>
      </w:hyperlink>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5959"/>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5959"/>
        <w:sz w:val="17"/>
      </w:rPr>
      <w:t>UIST Digital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dl.handle.net/20.500.12188/1" TargetMode="External"/><Relationship Id="rId12" Type="http://schemas.openxmlformats.org/officeDocument/2006/relationships/hyperlink" Target="https://repository.uist.edu.mk/" TargetMode="External"/><Relationship Id="rId13" Type="http://schemas.openxmlformats.org/officeDocument/2006/relationships/hyperlink" Target="https://eden-harvester.vm.fedcloud.eu/" TargetMode="External"/><Relationship Id="rId14" Type="http://schemas.openxmlformats.org/officeDocument/2006/relationships/hyperlink" Target="https://www.handle.net/prefix.html" TargetMode="External"/><Relationship Id="rId15" Type="http://schemas.openxmlformats.org/officeDocument/2006/relationships/hyperlink" Target="https://www.re3data.org/" TargetMode="External"/><Relationship Id="rId16" Type="http://schemas.openxmlformats.org/officeDocument/2006/relationships/hyperlink" Target="https://fairsharin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and Approvals Required from UIST</dc:title>
  <dc:subject>EDEN Harvester and UIST Digital Repository production readiness</dc:subject>
  <dc:creator>UIST Digital Repository project team</dc:creator>
  <cp:keywords>UIST, EDEN, DSpace, re3data, FAIRsharing, Handle, policies, deployment</cp:keywords>
  <dc:description>generated by python-docx</dc:description>
  <cp:lastModifiedBy/>
  <cp:revision>1</cp:revision>
  <dcterms:created xsi:type="dcterms:W3CDTF">2013-12-23T23:15:00Z</dcterms:created>
  <dcterms:modified xsi:type="dcterms:W3CDTF">2013-12-23T23:15:00Z</dcterms:modified>
  <cp:category/>
</cp:coreProperties>
</file>