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UIST Repository Policy Review and Decision Schedule</w:t>
      </w:r>
    </w:p>
    <w:p>
      <w:pPr>
        <w:spacing w:after="240"/>
      </w:pPr>
      <w:r>
        <w:rPr>
          <w:sz w:val="19"/>
        </w:rPr>
        <w:t>Prepared for the Rector | Draft for institutional review | 3 October 2026 | Handle status updated 6 October 2026</w:t>
      </w:r>
    </w:p>
    <w:p>
      <w:r>
        <w:t>I request review of the four policy drafts accompanying this schedule and confirmation of the institutional route for their adoption. Development is already approved, and the Handle.net process has already been accepted. The remaining institutional work is to settle the repository rules and assign accountable roles; maintenance of the live Handle service and deployment of other changes remain technical operating work. This package does not ask the University to approve development or obtain a Handle prefix again.</w:t>
      </w:r>
    </w:p>
    <w:p>
      <w:r>
        <w:t>The proposed policies support a credible re3data application and completion of the existing FAIRsharing record. They also give depositors and users clear information about review, access, licensing, preservation and complaints. The University should adopt only the commitments it can staff and operate.</w:t>
      </w:r>
    </w:p>
    <w:p>
      <w:r>
        <w:t>For an early re3data application, the University may first approve a sufficient public statement of research-data scope, institutional responsibility, access, use and data rights. The remaining policy detail can progress in parallel; adoption of the entire package and completion of Handle activation are not separate re3data minimum requirements.</w:t>
      </w:r>
    </w:p>
    <w:p>
      <w:pPr>
        <w:pStyle w:val="Heading1"/>
      </w:pPr>
      <w:r>
        <w:t>Current position</w:t>
      </w:r>
    </w:p>
    <w:p>
      <w:r>
        <w:t>The project notes report that the public repository passed eight EDEN technical discovery checks on 2 October 2026. Metadata quality improvements are implemented locally and still require production deployment. A discovery score is not a repository certificate or a finding that policies, licences and deposited data are adequate.</w:t>
      </w:r>
    </w:p>
    <w:p>
      <w:r>
        <w:t xml:space="preserve">UIST's Handle prefix 20.500.15029 is live and matches the local declaration. On 6 October 2026, </w:t>
      </w:r>
      <w:hyperlink r:id="rId10">
        <w:r>
          <w:rPr>
            <w:color w:val="1A4A72"/>
            <w:u w:val="single"/>
          </w:rPr>
          <w:t>20.500.15029/261</w:t>
        </w:r>
      </w:hyperlink>
      <w:r>
        <w:t xml:space="preserve"> resolved globally to the correct public item. Complete legacy migration and redirect coverage, new-item minting and restart resilience remain separate administrator checks; the sample establishes live item resolution.</w:t>
      </w:r>
    </w:p>
    <w:p>
      <w:r>
        <w:t>FAIRsharing record 9313 already exists and is awaiting curator review. The public page hides its detailed fields. The correct action is to complete and maintain that record. re3data registration is the next target. Its current minimum requirements concern a research-data focus, a legal entity with a sustainable organisational framework, publicly explained access and terms of use. A functioning research-data service must be demonstrated accurately; publication records alone do not establish research-data holdings.</w:t>
      </w:r>
    </w:p>
    <w:p>
      <w:r>
        <w:t>The existing repository user agreement and privacy notice need review. The agreement includes generic US-law and hosting language and restrictions on reuse and systematic retrieval that may conflict with the proposed metadata and item licensing approach. The adopted UIST policies should expressly replace inconsistent repository terms from their effective date. Existing licences and deposit permissions require their own rights assessment; adoption must not silently rewrite them.</w:t>
      </w:r>
    </w:p>
    <w:p>
      <w:pPr>
        <w:pStyle w:val="Heading1"/>
      </w:pPr>
      <w:r>
        <w:t>Documents submitted for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3515"/>
        <w:gridCol w:w="6123"/>
      </w:tblGrid>
      <w:tr>
        <w:trPr>
          <w:tblHeader/>
          <w:cantSplit/>
        </w:trPr>
        <w:tc>
          <w:tcPr>
            <w:tcW w:type="dxa" w:w="3515"/>
            <w:vAlign w:val="center"/>
            <w:shd w:fill="E3EAF0"/>
          </w:tcPr>
          <w:p>
            <w:pPr>
              <w:spacing w:after="40" w:before="40" w:line="252" w:lineRule="auto"/>
            </w:pPr>
            <w:r>
              <w:rPr>
                <w:b/>
                <w:color w:val="000000"/>
                <w:sz w:val="19"/>
              </w:rPr>
              <w:t>Document</w:t>
            </w:r>
          </w:p>
        </w:tc>
        <w:tc>
          <w:tcPr>
            <w:tcW w:type="dxa" w:w="6123"/>
            <w:vAlign w:val="center"/>
            <w:shd w:fill="E3EAF0"/>
          </w:tcPr>
          <w:p>
            <w:pPr>
              <w:spacing w:after="40" w:before="40" w:line="252" w:lineRule="auto"/>
            </w:pPr>
            <w:r>
              <w:rPr>
                <w:b/>
                <w:color w:val="000000"/>
                <w:sz w:val="19"/>
              </w:rPr>
              <w:t>Main institutional decision</w:t>
            </w:r>
          </w:p>
        </w:tc>
      </w:tr>
      <w:tr>
        <w:trPr>
          <w:cantSplit/>
        </w:trPr>
        <w:tc>
          <w:tcPr>
            <w:tcW w:type="dxa" w:w="3515"/>
            <w:vAlign w:val="center"/>
          </w:tcPr>
          <w:p>
            <w:pPr>
              <w:spacing w:after="40" w:before="40" w:line="252" w:lineRule="auto"/>
            </w:pPr>
            <w:r>
              <w:rPr>
                <w:color w:val="000000"/>
                <w:sz w:val="19"/>
              </w:rPr>
              <w:t>Repository Governance Deposit and Use Policy</w:t>
            </w:r>
          </w:p>
        </w:tc>
        <w:tc>
          <w:tcPr>
            <w:tcW w:type="dxa" w:w="6123"/>
            <w:vAlign w:val="center"/>
          </w:tcPr>
          <w:p>
            <w:pPr>
              <w:spacing w:after="40" w:before="40" w:line="252" w:lineRule="auto"/>
            </w:pPr>
            <w:r>
              <w:rPr>
                <w:color w:val="000000"/>
                <w:sz w:val="19"/>
              </w:rPr>
              <w:t>Scope, responsible office, depositor permissions, access, content licences, metadata reuse and service terms</w:t>
            </w:r>
          </w:p>
        </w:tc>
      </w:tr>
      <w:tr>
        <w:trPr>
          <w:cantSplit/>
        </w:trPr>
        <w:tc>
          <w:tcPr>
            <w:tcW w:type="dxa" w:w="3515"/>
            <w:vAlign w:val="center"/>
            <w:shd w:fill="F7F8FA"/>
          </w:tcPr>
          <w:p>
            <w:pPr>
              <w:spacing w:after="40" w:before="40" w:line="252" w:lineRule="auto"/>
            </w:pPr>
            <w:r>
              <w:rPr>
                <w:color w:val="000000"/>
                <w:sz w:val="19"/>
              </w:rPr>
              <w:t>Metadata Curation and Identifier Policy</w:t>
            </w:r>
          </w:p>
        </w:tc>
        <w:tc>
          <w:tcPr>
            <w:tcW w:type="dxa" w:w="6123"/>
            <w:vAlign w:val="center"/>
            <w:shd w:fill="F7F8FA"/>
          </w:tcPr>
          <w:p>
            <w:pPr>
              <w:spacing w:after="40" w:before="40" w:line="252" w:lineRule="auto"/>
            </w:pPr>
            <w:r>
              <w:rPr>
                <w:color w:val="000000"/>
                <w:sz w:val="19"/>
              </w:rPr>
              <w:t>Review capacity, metadata requirements, versions, citation and ongoing identifier responsibility</w:t>
            </w:r>
          </w:p>
        </w:tc>
      </w:tr>
      <w:tr>
        <w:trPr>
          <w:cantSplit/>
        </w:trPr>
        <w:tc>
          <w:tcPr>
            <w:tcW w:type="dxa" w:w="3515"/>
            <w:vAlign w:val="center"/>
          </w:tcPr>
          <w:p>
            <w:pPr>
              <w:spacing w:after="40" w:before="40" w:line="252" w:lineRule="auto"/>
            </w:pPr>
            <w:r>
              <w:rPr>
                <w:color w:val="000000"/>
                <w:sz w:val="19"/>
              </w:rPr>
              <w:t>Preservation and Service Continuity Policy</w:t>
            </w:r>
          </w:p>
        </w:tc>
        <w:tc>
          <w:tcPr>
            <w:tcW w:type="dxa" w:w="6123"/>
            <w:vAlign w:val="center"/>
          </w:tcPr>
          <w:p>
            <w:pPr>
              <w:spacing w:after="40" w:before="40" w:line="252" w:lineRule="auto"/>
            </w:pPr>
            <w:r>
              <w:rPr>
                <w:color w:val="000000"/>
                <w:sz w:val="19"/>
              </w:rPr>
              <w:t>Funded retention, operational preservation measures and closure responsibilities</w:t>
            </w:r>
          </w:p>
        </w:tc>
      </w:tr>
      <w:tr>
        <w:trPr>
          <w:cantSplit/>
        </w:trPr>
        <w:tc>
          <w:tcPr>
            <w:tcW w:type="dxa" w:w="3515"/>
            <w:vAlign w:val="center"/>
            <w:shd w:fill="F7F8FA"/>
          </w:tcPr>
          <w:p>
            <w:pPr>
              <w:spacing w:after="40" w:before="40" w:line="252" w:lineRule="auto"/>
            </w:pPr>
            <w:r>
              <w:rPr>
                <w:color w:val="000000"/>
                <w:sz w:val="19"/>
              </w:rPr>
              <w:t>Privacy Takedown and Appeals Policy</w:t>
            </w:r>
          </w:p>
        </w:tc>
        <w:tc>
          <w:tcPr>
            <w:tcW w:type="dxa" w:w="6123"/>
            <w:vAlign w:val="center"/>
            <w:shd w:fill="F7F8FA"/>
          </w:tcPr>
          <w:p>
            <w:pPr>
              <w:spacing w:after="40" w:before="40" w:line="252" w:lineRule="auto"/>
            </w:pPr>
            <w:r>
              <w:rPr>
                <w:color w:val="000000"/>
                <w:sz w:val="19"/>
              </w:rPr>
              <w:t>Actual processing information, privacy contacts, complaints, restriction, withdrawal and independent review</w:t>
            </w:r>
          </w:p>
        </w:tc>
      </w:tr>
      <w:tr>
        <w:trPr>
          <w:cantSplit/>
        </w:trPr>
        <w:tc>
          <w:tcPr>
            <w:tcW w:type="dxa" w:w="3515"/>
            <w:vAlign w:val="center"/>
          </w:tcPr>
          <w:p>
            <w:pPr>
              <w:spacing w:after="40" w:before="40" w:line="252" w:lineRule="auto"/>
            </w:pPr>
            <w:r>
              <w:rPr>
                <w:color w:val="000000"/>
                <w:sz w:val="19"/>
              </w:rPr>
              <w:t>Registry Readiness and Technical Action Plan</w:t>
            </w:r>
          </w:p>
        </w:tc>
        <w:tc>
          <w:tcPr>
            <w:tcW w:type="dxa" w:w="6123"/>
            <w:vAlign w:val="center"/>
          </w:tcPr>
          <w:p>
            <w:pPr>
              <w:spacing w:after="40" w:before="40" w:line="252" w:lineRule="auto"/>
            </w:pPr>
            <w:r>
              <w:rPr>
                <w:color w:val="000000"/>
                <w:sz w:val="19"/>
              </w:rPr>
              <w:t>Evidence and order of work for re3data submission and completion of FAIRsharing record 9313</w:t>
            </w:r>
          </w:p>
        </w:tc>
      </w:tr>
    </w:tbl>
    <w:p>
      <w:pPr>
        <w:spacing w:after="20" w:before="0" w:line="96" w:lineRule="auto"/>
      </w:pPr>
      <w:r>
        <w:rPr>
          <w:sz w:val="6"/>
        </w:rPr>
      </w:r>
    </w:p>
    <w:p>
      <w:pPr>
        <w:pStyle w:val="Heading1"/>
      </w:pPr>
      <w:r>
        <w:t>Adoption route</w:t>
      </w:r>
    </w:p>
    <w:p>
      <w:r>
        <w:t>UIST's published statute assigns the Senate authority to adopt general acts, rules and instructions and gives the Rector responsibilities for institutional legality and working arrangements. Please confirm whether the final repository policies require Senate adoption, a delegated decision or another procedure under the currently applicable statute. Rector approval of development does not, by itself, enact these policies.</w:t>
      </w:r>
    </w:p>
    <w:p>
      <w:r>
        <w:t>The proposed sequence is rector review, specialist review by the competent legal and personal data officers, confirmation of operational commitments by the service and technical owners, adoption by the competent authority, and publication of the approved versions. Editorial corrections may be coordinated by the repository owner; changes to institutional commitments require the authorised decision route.</w:t>
      </w:r>
    </w:p>
    <w:p>
      <w:r>
        <w:t>The University also publishes rules on electronic publishing and a digital library. The legal service should determine whether the repository policies complement or fall within those rules, and confirm the published statute's current applicability. Research-data deposits should not be placed under textbook publication procedures without an explicit institutional decision.</w:t>
      </w:r>
    </w:p>
    <w:p>
      <w:pPr>
        <w:pStyle w:val="Heading1"/>
      </w:pPr>
      <w:r>
        <w:t>Decision 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2608"/>
        <w:gridCol w:w="4762"/>
        <w:gridCol w:w="2268"/>
      </w:tblGrid>
      <w:tr>
        <w:trPr>
          <w:tblHeader/>
          <w:cantSplit/>
        </w:trPr>
        <w:tc>
          <w:tcPr>
            <w:tcW w:type="dxa" w:w="2608"/>
            <w:vAlign w:val="center"/>
            <w:shd w:fill="E3EAF0"/>
          </w:tcPr>
          <w:p>
            <w:pPr>
              <w:spacing w:after="40" w:before="40" w:line="252" w:lineRule="auto"/>
            </w:pPr>
            <w:r>
              <w:rPr>
                <w:b/>
                <w:color w:val="000000"/>
                <w:sz w:val="19"/>
              </w:rPr>
              <w:t>Decision</w:t>
            </w:r>
          </w:p>
        </w:tc>
        <w:tc>
          <w:tcPr>
            <w:tcW w:type="dxa" w:w="4762"/>
            <w:vAlign w:val="center"/>
            <w:shd w:fill="E3EAF0"/>
          </w:tcPr>
          <w:p>
            <w:pPr>
              <w:spacing w:after="40" w:before="40" w:line="252" w:lineRule="auto"/>
            </w:pPr>
            <w:r>
              <w:rPr>
                <w:b/>
                <w:color w:val="000000"/>
                <w:sz w:val="19"/>
              </w:rPr>
              <w:t>Proposed position for review</w:t>
            </w:r>
          </w:p>
        </w:tc>
        <w:tc>
          <w:tcPr>
            <w:tcW w:type="dxa" w:w="2268"/>
            <w:vAlign w:val="center"/>
            <w:shd w:fill="E3EAF0"/>
          </w:tcPr>
          <w:p>
            <w:pPr>
              <w:spacing w:after="40" w:before="40" w:line="252" w:lineRule="auto"/>
            </w:pPr>
            <w:r>
              <w:rPr>
                <w:b/>
                <w:color w:val="000000"/>
                <w:sz w:val="19"/>
              </w:rPr>
              <w:t>Record of decision</w:t>
            </w:r>
          </w:p>
        </w:tc>
      </w:tr>
      <w:tr>
        <w:trPr>
          <w:cantSplit/>
        </w:trPr>
        <w:tc>
          <w:tcPr>
            <w:tcW w:type="dxa" w:w="2608"/>
            <w:vAlign w:val="center"/>
          </w:tcPr>
          <w:p>
            <w:pPr>
              <w:spacing w:after="40" w:before="40" w:line="252" w:lineRule="auto"/>
            </w:pPr>
            <w:r>
              <w:rPr>
                <w:color w:val="000000"/>
                <w:sz w:val="19"/>
              </w:rPr>
              <w:t>Repository scope</w:t>
            </w:r>
          </w:p>
        </w:tc>
        <w:tc>
          <w:tcPr>
            <w:tcW w:type="dxa" w:w="4762"/>
            <w:vAlign w:val="center"/>
          </w:tcPr>
          <w:p>
            <w:pPr>
              <w:spacing w:after="40" w:before="40" w:line="252" w:lineRule="auto"/>
            </w:pPr>
            <w:r>
              <w:rPr>
                <w:color w:val="000000"/>
                <w:sz w:val="19"/>
              </w:rPr>
              <w:t>Research data and associated documentation alongside other authorised scholarly outputs</w:t>
            </w:r>
          </w:p>
        </w:tc>
        <w:tc>
          <w:tcPr>
            <w:tcW w:type="dxa" w:w="2268"/>
            <w:vAlign w:val="center"/>
          </w:tcPr>
          <w:p>
            <w:pPr>
              <w:spacing w:after="40" w:before="40" w:line="252" w:lineRule="auto"/>
            </w:pPr>
            <w:r>
              <w:rPr>
                <w:color w:val="000000"/>
                <w:sz w:val="19"/>
              </w:rPr>
              <w:t>Approve amend or defer</w:t>
            </w:r>
          </w:p>
        </w:tc>
      </w:tr>
      <w:tr>
        <w:trPr>
          <w:cantSplit/>
        </w:trPr>
        <w:tc>
          <w:tcPr>
            <w:tcW w:type="dxa" w:w="2608"/>
            <w:vAlign w:val="center"/>
            <w:shd w:fill="F7F8FA"/>
          </w:tcPr>
          <w:p>
            <w:pPr>
              <w:spacing w:after="40" w:before="40" w:line="252" w:lineRule="auto"/>
            </w:pPr>
            <w:r>
              <w:rPr>
                <w:color w:val="000000"/>
                <w:sz w:val="19"/>
              </w:rPr>
              <w:t>Accountable owner</w:t>
            </w:r>
          </w:p>
        </w:tc>
        <w:tc>
          <w:tcPr>
            <w:tcW w:type="dxa" w:w="4762"/>
            <w:vAlign w:val="center"/>
            <w:shd w:fill="F7F8FA"/>
          </w:tcPr>
          <w:p>
            <w:pPr>
              <w:spacing w:after="40" w:before="40" w:line="252" w:lineRule="auto"/>
            </w:pPr>
            <w:r>
              <w:rPr>
                <w:color w:val="000000"/>
                <w:sz w:val="19"/>
              </w:rPr>
              <w:t>A designated UIST office with a maintained role mailbox and substitute</w:t>
            </w:r>
          </w:p>
        </w:tc>
        <w:tc>
          <w:tcPr>
            <w:tcW w:type="dxa" w:w="2268"/>
            <w:vAlign w:val="center"/>
            <w:shd w:fill="F7F8FA"/>
          </w:tcPr>
          <w:p>
            <w:pPr>
              <w:spacing w:after="40" w:before="40" w:line="252" w:lineRule="auto"/>
            </w:pPr>
            <w:r>
              <w:rPr>
                <w:color w:val="000000"/>
                <w:sz w:val="19"/>
              </w:rPr>
              <w:t>Office and contact</w:t>
            </w:r>
          </w:p>
        </w:tc>
      </w:tr>
      <w:tr>
        <w:trPr>
          <w:cantSplit/>
        </w:trPr>
        <w:tc>
          <w:tcPr>
            <w:tcW w:type="dxa" w:w="2608"/>
            <w:vAlign w:val="center"/>
          </w:tcPr>
          <w:p>
            <w:pPr>
              <w:spacing w:after="40" w:before="40" w:line="252" w:lineRule="auto"/>
            </w:pPr>
            <w:r>
              <w:rPr>
                <w:color w:val="000000"/>
                <w:sz w:val="19"/>
              </w:rPr>
              <w:t>Depositors and review</w:t>
            </w:r>
          </w:p>
        </w:tc>
        <w:tc>
          <w:tcPr>
            <w:tcW w:type="dxa" w:w="4762"/>
            <w:vAlign w:val="center"/>
          </w:tcPr>
          <w:p>
            <w:pPr>
              <w:spacing w:after="40" w:before="40" w:line="252" w:lineRule="auto"/>
            </w:pPr>
            <w:r>
              <w:rPr>
                <w:color w:val="000000"/>
                <w:sz w:val="19"/>
              </w:rPr>
              <w:t>Authorised UIST contributors and collaborators; designated manual reviewers</w:t>
            </w:r>
          </w:p>
        </w:tc>
        <w:tc>
          <w:tcPr>
            <w:tcW w:type="dxa" w:w="2268"/>
            <w:vAlign w:val="center"/>
          </w:tcPr>
          <w:p>
            <w:pPr>
              <w:spacing w:after="40" w:before="40" w:line="252" w:lineRule="auto"/>
            </w:pPr>
            <w:r>
              <w:rPr>
                <w:color w:val="000000"/>
                <w:sz w:val="19"/>
              </w:rPr>
              <w:t>Eligible groups and reviewers</w:t>
            </w:r>
          </w:p>
        </w:tc>
      </w:tr>
      <w:tr>
        <w:trPr>
          <w:cantSplit/>
        </w:trPr>
        <w:tc>
          <w:tcPr>
            <w:tcW w:type="dxa" w:w="2608"/>
            <w:vAlign w:val="center"/>
            <w:shd w:fill="F7F8FA"/>
          </w:tcPr>
          <w:p>
            <w:pPr>
              <w:spacing w:after="40" w:before="40" w:line="252" w:lineRule="auto"/>
            </w:pPr>
            <w:r>
              <w:rPr>
                <w:color w:val="000000"/>
                <w:sz w:val="19"/>
              </w:rPr>
              <w:t>Access</w:t>
            </w:r>
          </w:p>
        </w:tc>
        <w:tc>
          <w:tcPr>
            <w:tcW w:type="dxa" w:w="4762"/>
            <w:vAlign w:val="center"/>
            <w:shd w:fill="F7F8FA"/>
          </w:tcPr>
          <w:p>
            <w:pPr>
              <w:spacing w:after="40" w:before="40" w:line="252" w:lineRule="auto"/>
            </w:pPr>
            <w:r>
              <w:rPr>
                <w:color w:val="000000"/>
                <w:sz w:val="19"/>
              </w:rPr>
              <w:t>Open metadata and files where lawful; justified embargoes or restrictions with a working review process</w:t>
            </w:r>
          </w:p>
        </w:tc>
        <w:tc>
          <w:tcPr>
            <w:tcW w:type="dxa" w:w="2268"/>
            <w:vAlign w:val="center"/>
            <w:shd w:fill="F7F8FA"/>
          </w:tcPr>
          <w:p>
            <w:pPr>
              <w:spacing w:after="40" w:before="40" w:line="252" w:lineRule="auto"/>
            </w:pPr>
            <w:r>
              <w:rPr>
                <w:color w:val="000000"/>
                <w:sz w:val="19"/>
              </w:rPr>
              <w:t>Approved rules</w:t>
            </w:r>
          </w:p>
        </w:tc>
      </w:tr>
      <w:tr>
        <w:trPr>
          <w:cantSplit/>
        </w:trPr>
        <w:tc>
          <w:tcPr>
            <w:tcW w:type="dxa" w:w="2608"/>
            <w:vAlign w:val="center"/>
          </w:tcPr>
          <w:p>
            <w:pPr>
              <w:spacing w:after="40" w:before="40" w:line="252" w:lineRule="auto"/>
            </w:pPr>
            <w:r>
              <w:rPr>
                <w:color w:val="000000"/>
                <w:sz w:val="19"/>
              </w:rPr>
              <w:t>Metadata reuse</w:t>
            </w:r>
          </w:p>
        </w:tc>
        <w:tc>
          <w:tcPr>
            <w:tcW w:type="dxa" w:w="4762"/>
            <w:vAlign w:val="center"/>
          </w:tcPr>
          <w:p>
            <w:pPr>
              <w:spacing w:after="40" w:before="40" w:line="252" w:lineRule="auto"/>
            </w:pPr>
            <w:r>
              <w:rPr>
                <w:color w:val="000000"/>
                <w:sz w:val="19"/>
              </w:rPr>
              <w:t>CC0 1.0 where UIST has authority and disclosure is lawful</w:t>
            </w:r>
          </w:p>
        </w:tc>
        <w:tc>
          <w:tcPr>
            <w:tcW w:type="dxa" w:w="2268"/>
            <w:vAlign w:val="center"/>
          </w:tcPr>
          <w:p>
            <w:pPr>
              <w:spacing w:after="40" w:before="40" w:line="252" w:lineRule="auto"/>
            </w:pPr>
            <w:r>
              <w:rPr>
                <w:color w:val="000000"/>
                <w:sz w:val="19"/>
              </w:rPr>
              <w:t>Approve amend or defer</w:t>
            </w:r>
          </w:p>
        </w:tc>
      </w:tr>
      <w:tr>
        <w:trPr>
          <w:cantSplit/>
        </w:trPr>
        <w:tc>
          <w:tcPr>
            <w:tcW w:type="dxa" w:w="2608"/>
            <w:vAlign w:val="center"/>
            <w:shd w:fill="F7F8FA"/>
          </w:tcPr>
          <w:p>
            <w:pPr>
              <w:spacing w:after="40" w:before="40" w:line="252" w:lineRule="auto"/>
            </w:pPr>
            <w:r>
              <w:rPr>
                <w:color w:val="000000"/>
                <w:sz w:val="19"/>
              </w:rPr>
              <w:t>Content reuse</w:t>
            </w:r>
          </w:p>
        </w:tc>
        <w:tc>
          <w:tcPr>
            <w:tcW w:type="dxa" w:w="4762"/>
            <w:vAlign w:val="center"/>
            <w:shd w:fill="F7F8FA"/>
          </w:tcPr>
          <w:p>
            <w:pPr>
              <w:spacing w:after="40" w:before="40" w:line="252" w:lineRule="auto"/>
            </w:pPr>
            <w:r>
              <w:rPr>
                <w:color w:val="000000"/>
                <w:sz w:val="19"/>
              </w:rPr>
              <w:t>Per-item rights; prefer CC BY 4.0 for suitable data and appropriate software licences</w:t>
            </w:r>
          </w:p>
        </w:tc>
        <w:tc>
          <w:tcPr>
            <w:tcW w:type="dxa" w:w="2268"/>
            <w:vAlign w:val="center"/>
            <w:shd w:fill="F7F8FA"/>
          </w:tcPr>
          <w:p>
            <w:pPr>
              <w:spacing w:after="40" w:before="40" w:line="252" w:lineRule="auto"/>
            </w:pPr>
            <w:r>
              <w:rPr>
                <w:color w:val="000000"/>
                <w:sz w:val="19"/>
              </w:rPr>
              <w:t>Approved choices</w:t>
            </w:r>
          </w:p>
        </w:tc>
      </w:tr>
      <w:tr>
        <w:trPr>
          <w:cantSplit/>
        </w:trPr>
        <w:tc>
          <w:tcPr>
            <w:tcW w:type="dxa" w:w="2608"/>
            <w:vAlign w:val="center"/>
          </w:tcPr>
          <w:p>
            <w:pPr>
              <w:spacing w:after="40" w:before="40" w:line="252" w:lineRule="auto"/>
            </w:pPr>
            <w:r>
              <w:rPr>
                <w:color w:val="000000"/>
                <w:sz w:val="19"/>
              </w:rPr>
              <w:t>Preservation</w:t>
            </w:r>
          </w:p>
        </w:tc>
        <w:tc>
          <w:tcPr>
            <w:tcW w:type="dxa" w:w="4762"/>
            <w:vAlign w:val="center"/>
          </w:tcPr>
          <w:p>
            <w:pPr>
              <w:spacing w:after="40" w:before="40" w:line="252" w:lineRule="auto"/>
            </w:pPr>
            <w:r>
              <w:rPr>
                <w:color w:val="000000"/>
                <w:sz w:val="19"/>
              </w:rPr>
              <w:t>Defined retention and measured operating arrangements; no indefinite guarantee</w:t>
            </w:r>
          </w:p>
        </w:tc>
        <w:tc>
          <w:tcPr>
            <w:tcW w:type="dxa" w:w="2268"/>
            <w:vAlign w:val="center"/>
          </w:tcPr>
          <w:p>
            <w:pPr>
              <w:spacing w:after="40" w:before="40" w:line="252" w:lineRule="auto"/>
            </w:pPr>
            <w:r>
              <w:rPr>
                <w:color w:val="000000"/>
                <w:sz w:val="19"/>
              </w:rPr>
              <w:t>Funded schedule and owner</w:t>
            </w:r>
          </w:p>
        </w:tc>
      </w:tr>
      <w:tr>
        <w:trPr>
          <w:cantSplit/>
        </w:trPr>
        <w:tc>
          <w:tcPr>
            <w:tcW w:type="dxa" w:w="2608"/>
            <w:vAlign w:val="center"/>
            <w:shd w:fill="F7F8FA"/>
          </w:tcPr>
          <w:p>
            <w:pPr>
              <w:spacing w:after="40" w:before="40" w:line="252" w:lineRule="auto"/>
            </w:pPr>
            <w:r>
              <w:rPr>
                <w:color w:val="000000"/>
                <w:sz w:val="19"/>
              </w:rPr>
              <w:t>Handle operations</w:t>
            </w:r>
          </w:p>
        </w:tc>
        <w:tc>
          <w:tcPr>
            <w:tcW w:type="dxa" w:w="4762"/>
            <w:vAlign w:val="center"/>
            <w:shd w:fill="F7F8FA"/>
          </w:tcPr>
          <w:p>
            <w:pPr>
              <w:spacing w:after="40" w:before="40" w:line="252" w:lineRule="auto"/>
            </w:pPr>
            <w:r>
              <w:rPr>
                <w:color w:val="000000"/>
                <w:sz w:val="19"/>
              </w:rPr>
              <w:t>Continue already approved process; assign service and renewal responsibility</w:t>
            </w:r>
          </w:p>
        </w:tc>
        <w:tc>
          <w:tcPr>
            <w:tcW w:type="dxa" w:w="2268"/>
            <w:vAlign w:val="center"/>
            <w:shd w:fill="F7F8FA"/>
          </w:tcPr>
          <w:p>
            <w:pPr>
              <w:spacing w:after="40" w:before="40" w:line="252" w:lineRule="auto"/>
            </w:pPr>
            <w:r>
              <w:rPr>
                <w:color w:val="000000"/>
                <w:sz w:val="19"/>
              </w:rPr>
              <w:t>Office and migration decision</w:t>
            </w:r>
          </w:p>
        </w:tc>
      </w:tr>
      <w:tr>
        <w:trPr>
          <w:cantSplit/>
        </w:trPr>
        <w:tc>
          <w:tcPr>
            <w:tcW w:type="dxa" w:w="2608"/>
            <w:vAlign w:val="center"/>
          </w:tcPr>
          <w:p>
            <w:pPr>
              <w:spacing w:after="40" w:before="40" w:line="252" w:lineRule="auto"/>
            </w:pPr>
            <w:r>
              <w:rPr>
                <w:color w:val="000000"/>
                <w:sz w:val="19"/>
              </w:rPr>
              <w:t>Privacy and appeals</w:t>
            </w:r>
          </w:p>
        </w:tc>
        <w:tc>
          <w:tcPr>
            <w:tcW w:type="dxa" w:w="4762"/>
            <w:vAlign w:val="center"/>
          </w:tcPr>
          <w:p>
            <w:pPr>
              <w:spacing w:after="40" w:before="40" w:line="252" w:lineRule="auto"/>
            </w:pPr>
            <w:r>
              <w:rPr>
                <w:color w:val="000000"/>
                <w:sz w:val="19"/>
              </w:rPr>
              <w:t>Confirm controller, current protection officer and independent escalation authority</w:t>
            </w:r>
          </w:p>
        </w:tc>
        <w:tc>
          <w:tcPr>
            <w:tcW w:type="dxa" w:w="2268"/>
            <w:vAlign w:val="center"/>
          </w:tcPr>
          <w:p>
            <w:pPr>
              <w:spacing w:after="40" w:before="40" w:line="252" w:lineRule="auto"/>
            </w:pPr>
            <w:r>
              <w:rPr>
                <w:color w:val="000000"/>
                <w:sz w:val="19"/>
              </w:rPr>
              <w:t>Names or offices</w:t>
            </w:r>
          </w:p>
        </w:tc>
      </w:tr>
      <w:tr>
        <w:trPr>
          <w:cantSplit/>
        </w:trPr>
        <w:tc>
          <w:tcPr>
            <w:tcW w:type="dxa" w:w="2608"/>
            <w:vAlign w:val="center"/>
            <w:shd w:fill="F7F8FA"/>
          </w:tcPr>
          <w:p>
            <w:pPr>
              <w:spacing w:after="40" w:before="40" w:line="252" w:lineRule="auto"/>
            </w:pPr>
            <w:r>
              <w:rPr>
                <w:color w:val="000000"/>
                <w:sz w:val="19"/>
              </w:rPr>
              <w:t>Public terms</w:t>
            </w:r>
          </w:p>
        </w:tc>
        <w:tc>
          <w:tcPr>
            <w:tcW w:type="dxa" w:w="4762"/>
            <w:vAlign w:val="center"/>
            <w:shd w:fill="F7F8FA"/>
          </w:tcPr>
          <w:p>
            <w:pPr>
              <w:spacing w:after="40" w:before="40" w:line="252" w:lineRule="auto"/>
            </w:pPr>
            <w:r>
              <w:rPr>
                <w:color w:val="000000"/>
                <w:sz w:val="19"/>
              </w:rPr>
              <w:t>Replace conflicting generic repository terms with adopted UIST-specific rules</w:t>
            </w:r>
          </w:p>
        </w:tc>
        <w:tc>
          <w:tcPr>
            <w:tcW w:type="dxa" w:w="2268"/>
            <w:vAlign w:val="center"/>
            <w:shd w:fill="F7F8FA"/>
          </w:tcPr>
          <w:p>
            <w:pPr>
              <w:spacing w:after="40" w:before="40" w:line="252" w:lineRule="auto"/>
            </w:pPr>
            <w:r>
              <w:rPr>
                <w:color w:val="000000"/>
                <w:sz w:val="19"/>
              </w:rPr>
              <w:t>Effective date and transition</w:t>
            </w:r>
          </w:p>
        </w:tc>
      </w:tr>
      <w:tr>
        <w:trPr>
          <w:cantSplit/>
        </w:trPr>
        <w:tc>
          <w:tcPr>
            <w:tcW w:type="dxa" w:w="2608"/>
            <w:vAlign w:val="center"/>
          </w:tcPr>
          <w:p>
            <w:pPr>
              <w:spacing w:after="40" w:before="40" w:line="252" w:lineRule="auto"/>
            </w:pPr>
            <w:r>
              <w:rPr>
                <w:color w:val="000000"/>
                <w:sz w:val="19"/>
              </w:rPr>
              <w:t>Registry maintenance</w:t>
            </w:r>
          </w:p>
        </w:tc>
        <w:tc>
          <w:tcPr>
            <w:tcW w:type="dxa" w:w="4762"/>
            <w:vAlign w:val="center"/>
          </w:tcPr>
          <w:p>
            <w:pPr>
              <w:spacing w:after="40" w:before="40" w:line="252" w:lineRule="auto"/>
            </w:pPr>
            <w:r>
              <w:rPr>
                <w:color w:val="000000"/>
                <w:sz w:val="19"/>
              </w:rPr>
              <w:t>Complete FAIRsharing 9313; assign re3data submitter and curator-response owner</w:t>
            </w:r>
          </w:p>
        </w:tc>
        <w:tc>
          <w:tcPr>
            <w:tcW w:type="dxa" w:w="2268"/>
            <w:vAlign w:val="center"/>
          </w:tcPr>
          <w:p>
            <w:pPr>
              <w:spacing w:after="40" w:before="40" w:line="252" w:lineRule="auto"/>
            </w:pPr>
            <w:r>
              <w:rPr>
                <w:color w:val="000000"/>
                <w:sz w:val="19"/>
              </w:rPr>
              <w:t>Responsible office</w:t>
            </w:r>
          </w:p>
        </w:tc>
      </w:tr>
    </w:tbl>
    <w:p>
      <w:pPr>
        <w:spacing w:after="20" w:before="0" w:line="96" w:lineRule="auto"/>
      </w:pPr>
      <w:r>
        <w:rPr>
          <w:sz w:val="6"/>
        </w:rPr>
      </w:r>
    </w:p>
    <w:p>
      <w:r>
        <w:t>No fee arrangement, retention duration, curation response time, hosting location or certification is assumed by the drafts. These matters must be confirmed where they affect public statements. The University's public personal data page currently lists a protection officer; the appointment and repository remit should be reconfirmed before publication.</w:t>
      </w:r>
    </w:p>
    <w:p>
      <w:pPr>
        <w:pStyle w:val="Heading1"/>
      </w:pPr>
      <w:r>
        <w:t>Work that can proceed under development approval</w:t>
      </w:r>
    </w:p>
    <w:p>
      <w:r>
        <w:t>The development team can prepare publication routes and links, implement configuration for approved policy information, improve machine-readable metadata, prepare read-only readiness checks, and verify interfaces and access controls. It can prepare the registry record and supporting evidence. These actions do not choose licences or create preservation commitments.</w:t>
      </w:r>
    </w:p>
    <w:p>
      <w:r>
        <w:t>The server administrator can maintain the live Handle service, document migration coverage and continuity checks, coordinate the approved deployment and supply evidence of hosting, backup, restore, fixity and access-control arrangements. After policy adoption, the development team can publish the approved text and corresponding machine-readable links. Submission should use the final verified statements and existing institutional arrangements.</w:t>
      </w:r>
    </w:p>
    <w:p>
      <w:pPr>
        <w:pStyle w:val="Heading1"/>
      </w:pPr>
      <w:r>
        <w:t>Approval record</w:t>
      </w:r>
    </w:p>
    <w:p>
      <w:r>
        <w:t>Reviewer and office: ______________________________</w:t>
      </w:r>
    </w:p>
    <w:p>
      <w:r>
        <w:t>Date and institutional reference: ______________________________</w:t>
      </w:r>
    </w:p>
    <w:p>
      <w:r>
        <w:t>Outcome: approve as amended / return for revision / refer for formal adoption.</w:t>
      </w:r>
    </w:p>
    <w:p>
      <w:r>
        <w:t>Policy owner and adoption authority: ______________________________</w:t>
      </w:r>
    </w:p>
    <w:p>
      <w:r>
        <w:t>Documents and versions approved: ______________________________</w:t>
      </w:r>
    </w:p>
    <w:p>
      <w:r>
        <w:t>Required amendments and responsible officers: ______________________________</w:t>
      </w:r>
    </w:p>
    <w:p>
      <w:r>
        <w:t>Publication effective date and next review date: ______________________________</w:t>
      </w:r>
    </w:p>
    <w:p>
      <w:pPr>
        <w:pStyle w:val="Heading1"/>
      </w:pPr>
      <w:r>
        <w:t>References for the decision</w:t>
      </w:r>
    </w:p>
    <w:p>
      <w:pPr>
        <w:spacing w:after="100"/>
      </w:pPr>
      <w:r>
        <w:rPr>
          <w:sz w:val="18"/>
        </w:rPr>
      </w:r>
      <w:hyperlink r:id="rId11">
        <w:r>
          <w:rPr>
            <w:color w:val="1A4A72"/>
            <w:u w:val="single"/>
          </w:rPr>
          <w:t>re3data metadata schema version 4.0 and registration policy</w:t>
        </w:r>
      </w:hyperlink>
      <w:r>
        <w:rPr>
          <w:sz w:val="18"/>
        </w:rPr>
      </w:r>
    </w:p>
    <w:p>
      <w:pPr>
        <w:spacing w:after="100"/>
      </w:pPr>
      <w:r>
        <w:rPr>
          <w:sz w:val="18"/>
        </w:rPr>
      </w:r>
      <w:hyperlink r:id="rId12">
        <w:r>
          <w:rPr>
            <w:color w:val="1A4A72"/>
            <w:u w:val="single"/>
          </w:rPr>
          <w:t>Existing FAIRsharing record 9313</w:t>
        </w:r>
      </w:hyperlink>
      <w:r>
        <w:rPr>
          <w:sz w:val="18"/>
        </w:rPr>
      </w:r>
    </w:p>
    <w:p>
      <w:pPr>
        <w:spacing w:after="100"/>
      </w:pPr>
      <w:r>
        <w:rPr>
          <w:sz w:val="18"/>
        </w:rPr>
      </w:r>
      <w:hyperlink r:id="rId13">
        <w:r>
          <w:rPr>
            <w:color w:val="1A4A72"/>
            <w:u w:val="single"/>
          </w:rPr>
          <w:t>UIST legal acts and statute</w:t>
        </w:r>
      </w:hyperlink>
      <w:r>
        <w:rPr>
          <w:sz w:val="18"/>
        </w:rPr>
      </w:r>
    </w:p>
    <w:p>
      <w:pPr>
        <w:spacing w:after="100"/>
      </w:pPr>
      <w:r>
        <w:rPr>
          <w:sz w:val="18"/>
        </w:rPr>
      </w:r>
      <w:hyperlink r:id="rId14">
        <w:r>
          <w:rPr>
            <w:color w:val="1A4A72"/>
            <w:u w:val="single"/>
          </w:rPr>
          <w:t>UIST personal data protection information</w:t>
        </w:r>
      </w:hyperlink>
      <w:r>
        <w:rPr>
          <w:sz w:val="18"/>
        </w:rPr>
      </w:r>
    </w:p>
    <w:p>
      <w:pPr>
        <w:spacing w:after="100"/>
      </w:pPr>
      <w:r>
        <w:rPr>
          <w:sz w:val="18"/>
        </w:rPr>
      </w:r>
      <w:hyperlink r:id="rId15">
        <w:r>
          <w:rPr>
            <w:color w:val="1A4A72"/>
            <w:u w:val="single"/>
          </w:rPr>
          <w:t>UKIM Open Science Policy 2026 to 2030 in University Gazette 752</w:t>
        </w:r>
      </w:hyperlink>
      <w:r>
        <w:rPr>
          <w:sz w:val="18"/>
        </w:rPr>
      </w:r>
    </w:p>
    <w:sectPr w:rsidR="00FC693F" w:rsidRPr="0006063C" w:rsidSect="00034616">
      <w:footerReference w:type="default" r:id="rId9"/>
      <w:pgSz w:w="11906" w:h="16838"/>
      <w:pgMar w:top="1077" w:right="1134" w:bottom="1077"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6"/>
      </w:rPr>
      <w:t xml:space="preserve">UIST   |   Draft for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dl.handle.net/20.500.15029/261" TargetMode="External"/><Relationship Id="rId11" Type="http://schemas.openxmlformats.org/officeDocument/2006/relationships/hyperlink" Target="https://doi.org/10.48440/re3.014" TargetMode="External"/><Relationship Id="rId12" Type="http://schemas.openxmlformats.org/officeDocument/2006/relationships/hyperlink" Target="https://fairsharing.org/9313" TargetMode="External"/><Relationship Id="rId13" Type="http://schemas.openxmlformats.org/officeDocument/2006/relationships/hyperlink" Target="https://uist.edu.mk/legal-acts/" TargetMode="External"/><Relationship Id="rId14" Type="http://schemas.openxmlformats.org/officeDocument/2006/relationships/hyperlink" Target="https://uist.edu.mk/info-center/protection-personal-data/" TargetMode="External"/><Relationship Id="rId15" Type="http://schemas.openxmlformats.org/officeDocument/2006/relationships/hyperlink" Target="https://pf.ukim.edu.mk/wp-content/uploads/2026/04/glasnik-75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UIST Repository Policy Review and Decision Schedule</dc:title>
  <dc:subject>UIST repository policies and registry readiness</dc:subject>
  <dc:creator>UIST Digital Repository development team</dc:creator>
  <cp:keywords>Draft; rector review; UIST; re3data; FAIRsharing</cp:keywords>
  <dc:description>generated by python-docx</dc:description>
  <cp:lastModifiedBy/>
  <cp:revision>1</cp:revision>
  <dcterms:created xsi:type="dcterms:W3CDTF">2026-10-03T10:00:00Z</dcterms:created>
  <dcterms:modified xsi:type="dcterms:W3CDTF">2013-12-23T23:15:00Z</dcterms:modified>
  <cp:category/>
</cp:coreProperties>
</file>