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UIST Repository Governance Deposit and Use Policy</w:t>
      </w:r>
    </w:p>
    <w:p>
      <w:pPr>
        <w:spacing w:after="240"/>
      </w:pPr>
      <w:r>
        <w:rPr>
          <w:sz w:val="19"/>
        </w:rPr>
        <w:t>Draft for rector review | Version 0.1 | Prepared 3 October 2026</w:t>
      </w:r>
    </w:p>
    <w:p>
      <w:r>
        <w:t>This policy establishes who is responsible for the UIST Digital Repository and the conditions under which the University accepts, makes available and permits reuse of research outputs. Approval would give depositors, users and repository staff a common set of rules and support a transparent re3data application. It applies to the repository at https://repository.uist.edu.mk/ and its public interfaces.</w:t>
      </w:r>
    </w:p>
    <w:p>
      <w:pPr>
        <w:pStyle w:val="Heading1"/>
      </w:pPr>
      <w:r>
        <w:t>Approval and administration</w:t>
      </w:r>
    </w:p>
    <w:p>
      <w:r>
        <w:t>Approving authority: [confirm competent UIST authority and approval reference]. Policy owner: [designated repository office]. Public contact: [maintained repository role mailbox]. Effective date: [after approval]. Next review: [date set by approving authority]. The Rector shall nominate the accountable service owner and confirm whether this policy also requires a Senate or other institutional decision under the University statute. These drafts do not appoint an office or create an approved institutional mandate.</w:t>
      </w:r>
    </w:p>
    <w:p>
      <w:pPr>
        <w:pStyle w:val="Heading1"/>
      </w:pPr>
      <w:r>
        <w:t>Purpose and scope</w:t>
      </w:r>
    </w:p>
    <w:p>
      <w:r>
        <w:t>The repository supports discovery, access and responsible reuse of research data and other scholarly outputs created by UIST researchers, staff, students and authorised collaborators. Eligible outputs include datasets, associated documentation, software, articles, reports, theses and other materials accepted by the repository owner. Research data collections shall include enough documentation to understand the methods, structure and limitations of the data. Publication records may link to supporting datasets, but a publication alone does not establish that research data are held.</w:t>
      </w:r>
    </w:p>
    <w:p>
      <w:r>
        <w:t>The repository owner shall confirm the eligible depositor groups, research subjects and collection boundaries before accepting deposits under this policy. Material without a documented relationship to the University's research or teaching mission may be refused. The University does not acquire ownership of deposited intellectual property solely by accepting a deposit.</w:t>
      </w:r>
    </w:p>
    <w:p>
      <w:pPr>
        <w:pStyle w:val="Heading1"/>
      </w:pPr>
      <w:r>
        <w:t>Responsibilities</w:t>
      </w:r>
    </w:p>
    <w:p>
      <w:r>
        <w:t>The accountable repository owner approves collection rules, assigns reviewers, maintains policy and contact information, and decides disputes within their delegated authority. The technical administrator operates hosting, security, backups and identifiers under the University's approved operational arrangements. Depositors remain responsible for accuracy, authority to deposit, confidentiality, lawful disclosure and the rights needed for the selected access and reuse conditions.</w:t>
      </w:r>
    </w:p>
    <w:p>
      <w:r>
        <w:t>Repository reviewers check completeness, rights and access information, documentation and technical usability before publication. Review is a repository acceptance decision; it does not constitute peer review, a scientific endorsement or a guarantee that deposited results are correct. Legal and personal data matters shall be referred to the competent University officer.</w:t>
      </w:r>
    </w:p>
    <w:p>
      <w:pPr>
        <w:pStyle w:val="Heading1"/>
      </w:pPr>
      <w:r>
        <w:t>Deposit requirements</w:t>
      </w:r>
    </w:p>
    <w:p>
      <w:r>
        <w:t>A depositor shall provide a title, responsible creators, a description, output type, relevant dates, research subjects, language where applicable, file and version information, and a clear rights and access statement. A dataset shall also include a README or equivalent documentation describing its contents, file formats, variables or structure, methods, provenance, limitations and any software required to interpret it. Where relevant, deposits shall identify funding, related publications, ethical approval and associated identifiers without exposing confidential information.</w:t>
      </w:r>
    </w:p>
    <w:p>
      <w:r>
        <w:t>The depositor shall identify third party rights, contractual restrictions, publisher conditions and personal or confidential data before submission. Files shall be checked for malware and for obvious disclosure risks through the operating procedures. The University shall refuse or return incomplete, out of scope, unlawful or inadequately authorised submissions. A return for revision shall identify the reason and the information required for reconsideration.</w:t>
      </w:r>
    </w:p>
    <w:p>
      <w:pPr>
        <w:pStyle w:val="Heading1"/>
      </w:pPr>
      <w:r>
        <w:t>Depositor agreement</w:t>
      </w:r>
    </w:p>
    <w:p>
      <w:r>
        <w:t>On submission, the depositor confirms that they are entitled to deposit the material and grant the permissions described here; co-authors and other rights holders have been consulted where required; the supplied rights, access and confidentiality information is accurate; and disclosure does not breach an applicable legal, ethical or contractual duty.</w:t>
      </w:r>
    </w:p>
    <w:p>
      <w:r>
        <w:t>The depositor grants UIST a non-exclusive permission to store, reproduce for repository operation, back up, preserve and make available the deposited material under the recorded access conditions. UIST may make preservation copies and agreed format conversions while retaining provenance and the original where feasible. This permission does not authorise public release of restricted files or relicensing of content without the necessary authority. A depositor who lacks a permission shall disclose the limitation before acceptance.</w:t>
      </w:r>
    </w:p>
    <w:p>
      <w:r>
        <w:t>The depositor selects or confirms the item licence separately from this deposit permission. The system shall record the agreement version, the accepting account and the acceptance time. Changes to a deposit agreement shall not silently alter permissions already granted.</w:t>
      </w:r>
    </w:p>
    <w:p>
      <w:r>
        <w:t>The competent legal officer shall confirm that the final agreement and its electronic acceptance meet applicable form and authorisation requirements before this workflow is enabled. Transfer to a successor archive requires permissions and safeguards consistent with the agreement and applicable law.</w:t>
      </w:r>
    </w:p>
    <w:p>
      <w:pPr>
        <w:pStyle w:val="Heading1"/>
      </w:pPr>
      <w:r>
        <w:t>Access and embargoes</w:t>
      </w:r>
    </w:p>
    <w:p>
      <w:r>
        <w:t>The proposed default is public descriptive metadata and open access to files where rights and lawful disclosure permit. Embargoed, restricted or closed files may be accepted when there is a documented reason and the repository can enforce the stated conditions. An embargo shall have an end date, a responsible reviewer and a release rule. Restricted access shall identify the decision maker, request procedure and applicable user conditions. The repository shall not promise access on request where no review workflow operates.</w:t>
      </w:r>
    </w:p>
    <w:p>
      <w:r>
        <w:t>Public metadata shall not reveal protected identities, confidential locations or other restricted information. Metadata may be limited or suppressed where necessary; openness of metadata is not absolute. A file that is publicly downloadable is not automatically licensed for unrestricted reuse. Access and licence information shall be shown separately on its record.</w:t>
      </w:r>
    </w:p>
    <w:p>
      <w:pPr>
        <w:pStyle w:val="Heading1"/>
      </w:pPr>
      <w:r>
        <w:t>Licensing and metadata reuse</w:t>
      </w:r>
    </w:p>
    <w:p>
      <w:r>
        <w:t>The proposed metadata reuse rule is CC0 1.0 for descriptive metadata that UIST has authority to release, subject to personal data, confidential information and third party rights. Adoption of this rule requires explicit approval and a rights review of legacy metadata. It does not waive rights in deposited files, publisher abstracts or material that UIST cannot lawfully release under CC0.</w:t>
      </w:r>
    </w:p>
    <w:p>
      <w:r>
        <w:t>Deposited content shall carry an item-specific licence or a clear rights statement. CC BY 4.0 is the proposed preferred choice for openly reusable research data where the rights holder can grant it. Suitable software licences should be used for code. Alternatives or restrictions shall be recorded when warranted; a Creative Commons licence shall not be applied to another person's work without permission. No licence shall be inferred from the DSpace software licence, a registry entry or a different item.</w:t>
      </w:r>
    </w:p>
    <w:p>
      <w:r>
        <w:t>Once a reuse licence has been granted, withdrawing repository access does not by itself revoke rights already granted to recipients. The licence terms and applicable law govern those rights. UIST shall not retroactively change a licence without the appropriate authority and a record of the change.</w:t>
      </w:r>
    </w:p>
    <w:p>
      <w:pPr>
        <w:pStyle w:val="Heading1"/>
      </w:pPr>
      <w:r>
        <w:t>Terms of use</w:t>
      </w:r>
    </w:p>
    <w:p>
      <w:r>
        <w:t>Users may search, read, download and harvest publicly accessible repository material through documented interfaces, subject to each item's rights and access conditions. Reusers shall comply with the relevant licence, acknowledge creators when required, preserve identifier and version information, and avoid representing UIST as endorsing their reuse.</w:t>
      </w:r>
    </w:p>
    <w:p>
      <w:r>
        <w:t>Users shall not bypass access controls, misrepresent their identity, interfere with service security or availability, or attempt to identify individuals from data contrary to the applicable conditions. Automated use shall respect published rate limits and service instructions. Restrictions on abusive technical behaviour shall not replace or narrow an independently granted content licence.</w:t>
      </w:r>
    </w:p>
    <w:p>
      <w:r>
        <w:t>The repository owner may limit disruptive access, correct records or temporarily suspend affected content while investigating a documented concern. The University provides the service under the approved operating arrangements and shall publish significant planned interruptions when practicable. Acceptance and availability do not guarantee scientific validity, fitness for a particular purpose, uninterrupted operation or perpetual preservation. Any disclaimer is subject to applicable law and shall not exclude duties that cannot lawfully be excluded.</w:t>
      </w:r>
    </w:p>
    <w:p>
      <w:pPr>
        <w:pStyle w:val="Heading1"/>
      </w:pPr>
      <w:r>
        <w:t>Complaints changes and review</w:t>
      </w:r>
    </w:p>
    <w:p>
      <w:r>
        <w:t>Complaints, corrections, withdrawal and appeal requests shall follow the UIST Repository Privacy and Takedown Policy. Substantive content changes shall follow the Metadata Curation and Identifier Policy. Approved versions shall be published at stable public HTTPS URLs with owner, approval reference, effective date and review date. Material changes shall be explained and older policy versions retained for accountability.</w:t>
      </w:r>
    </w:p>
    <w:p>
      <w:r>
        <w:t>From its effective date, this adopted policy shall replace conflicting repository service terms in the current End User Agreement. The publication plan shall identify the texts replaced and their applicable versions. This transition does not silently change an existing item licence, depositor permission or a right that must be preserved under applicable law.</w:t>
      </w:r>
    </w:p>
    <w:p>
      <w:pPr>
        <w:pStyle w:val="Heading1"/>
      </w:pPr>
      <w:r>
        <w:t>Decisions requested from the approving authority</w:t>
      </w:r>
    </w:p>
    <w:p>
      <w:r>
        <w:t>Confirm the competent authority, repository owner, contact and eligible depositor groups. Approve or amend the proposed public access default, the metadata CC0 rule and the preferred content licence. Confirm any fee arrangements; until these are confirmed, no public claim of a free deposit service should be made. Assign the reviewer and escalation roles and approve publication only after the decision fields and operating procedures are complete.</w:t>
      </w:r>
    </w:p>
    <w:p>
      <w:pPr>
        <w:pStyle w:val="Heading1"/>
      </w:pPr>
      <w:r>
        <w:t>Drafting basis</w:t>
      </w:r>
    </w:p>
    <w:p>
      <w:r>
        <w:t>This proposed UIST text adapts the separation of deposit permission, access conditions and reuse licensing found in SWISSUbase and DABAR, and the institutional research data approach of UKIM. It does not adopt their governing law, funding arrangements, review capacity or retention commitments. The source register supplied with this review package records the specific documents and their limits.</w:t>
      </w:r>
    </w:p>
    <w:p>
      <w:pPr>
        <w:spacing w:after="100"/>
      </w:pPr>
      <w:r>
        <w:rPr>
          <w:sz w:val="18"/>
        </w:rPr>
      </w:r>
      <w:hyperlink r:id="rId10">
        <w:r>
          <w:rPr>
            <w:color w:val="1A4A72"/>
            <w:u w:val="single"/>
          </w:rPr>
          <w:t>SWISSUbase Terms of Use updated 6 March 2026</w:t>
        </w:r>
      </w:hyperlink>
      <w:r>
        <w:rPr>
          <w:sz w:val="18"/>
        </w:rPr>
      </w:r>
    </w:p>
    <w:p>
      <w:pPr>
        <w:spacing w:after="100"/>
      </w:pPr>
      <w:r>
        <w:rPr>
          <w:sz w:val="18"/>
        </w:rPr>
      </w:r>
      <w:hyperlink r:id="rId11">
        <w:r>
          <w:rPr>
            <w:color w:val="1A4A72"/>
            <w:u w:val="single"/>
          </w:rPr>
          <w:t>SWISSUbase legal documents and deposit contract</w:t>
        </w:r>
      </w:hyperlink>
      <w:r>
        <w:rPr>
          <w:sz w:val="18"/>
        </w:rPr>
      </w:r>
    </w:p>
    <w:p>
      <w:pPr>
        <w:spacing w:after="100"/>
      </w:pPr>
      <w:r>
        <w:rPr>
          <w:sz w:val="18"/>
        </w:rPr>
      </w:r>
      <w:hyperlink r:id="rId12">
        <w:r>
          <w:rPr>
            <w:color w:val="1A4A72"/>
            <w:u w:val="single"/>
          </w:rPr>
          <w:t>DABAR repository policies</w:t>
        </w:r>
      </w:hyperlink>
      <w:r>
        <w:rPr>
          <w:sz w:val="18"/>
        </w:rPr>
      </w:r>
    </w:p>
    <w:p>
      <w:pPr>
        <w:spacing w:after="100"/>
      </w:pPr>
      <w:r>
        <w:rPr>
          <w:sz w:val="18"/>
        </w:rPr>
      </w:r>
      <w:hyperlink r:id="rId13">
        <w:r>
          <w:rPr>
            <w:color w:val="1A4A72"/>
            <w:u w:val="single"/>
          </w:rPr>
          <w:t>UKIM Open Science Policy 2026 to 2030</w:t>
        </w:r>
      </w:hyperlink>
      <w:r>
        <w:rPr>
          <w:sz w:val="18"/>
        </w:rPr>
      </w:r>
    </w:p>
    <w:p>
      <w:pPr>
        <w:spacing w:after="100"/>
      </w:pPr>
      <w:r>
        <w:rPr>
          <w:sz w:val="18"/>
        </w:rPr>
      </w:r>
      <w:hyperlink r:id="rId14">
        <w:r>
          <w:rPr>
            <w:color w:val="1A4A72"/>
            <w:u w:val="single"/>
          </w:rPr>
          <w:t>UIST legal acts and existing publishing rules</w:t>
        </w:r>
      </w:hyperlink>
      <w:r>
        <w:rPr>
          <w:sz w:val="18"/>
        </w:rPr>
      </w:r>
    </w:p>
    <w:sectPr w:rsidR="00FC693F" w:rsidRPr="0006063C" w:rsidSect="00034616">
      <w:footerReference w:type="default" r:id="rId9"/>
      <w:pgSz w:w="11906" w:h="16838"/>
      <w:pgMar w:top="1077" w:right="1134" w:bottom="107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UIST   |   Draft for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fo.swissubase.ch/resources/?sr=2529" TargetMode="External"/><Relationship Id="rId11" Type="http://schemas.openxmlformats.org/officeDocument/2006/relationships/hyperlink" Target="https://info.swissubase.ch/resources/?sr=5536" TargetMode="External"/><Relationship Id="rId12" Type="http://schemas.openxmlformats.org/officeDocument/2006/relationships/hyperlink" Target="https://dabar.srce.hr/en/repository-policies" TargetMode="External"/><Relationship Id="rId13" Type="http://schemas.openxmlformats.org/officeDocument/2006/relationships/hyperlink" Target="https://pf.ukim.edu.mk/wp-content/uploads/2026/04/glasnik-752.pdf" TargetMode="External"/><Relationship Id="rId14" Type="http://schemas.openxmlformats.org/officeDocument/2006/relationships/hyperlink" Target="https://uist.edu.mk/legal-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UIST Repository Governance Deposit and Use Policy</dc:title>
  <dc:subject>UIST repository policies and registry readiness</dc:subject>
  <dc:creator>UIST Digital Repository development team</dc:creator>
  <cp:keywords>Draft; rector review; UIST; re3data; FAIRsharing</cp:keywords>
  <dc:description>generated by python-docx</dc:description>
  <cp:lastModifiedBy/>
  <cp:revision>1</cp:revision>
  <dcterms:created xsi:type="dcterms:W3CDTF">2026-10-03T10:00:00Z</dcterms:created>
  <dcterms:modified xsi:type="dcterms:W3CDTF">2013-12-23T23:15:00Z</dcterms:modified>
  <cp:category/>
</cp:coreProperties>
</file>